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01C58273" w14:textId="77777777" w:rsidR="00F94554" w:rsidRDefault="00F94554" w:rsidP="00F9455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 xml:space="preserve">ASSIGNATION EN RÉFÉRÉ </w:t>
      </w:r>
    </w:p>
    <w:p w14:paraId="112A2091" w14:textId="77777777" w:rsidR="00F94554" w:rsidRPr="003A6DA6" w:rsidRDefault="00F94554" w:rsidP="00F9455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PAR-DEVANT LE PRÉSIDENT PRÈS LE TRIBUNAL JUDICIAIRE DE […]</w:t>
      </w:r>
    </w:p>
    <w:p w14:paraId="1830034B" w14:textId="77777777" w:rsidR="00F94554" w:rsidRDefault="00F94554" w:rsidP="00F94554">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4FB0999" w14:textId="77777777" w:rsidR="00F94554" w:rsidRPr="006659DE" w:rsidRDefault="00F94554" w:rsidP="00F94554">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Pr>
          <w:i/>
          <w:sz w:val="28"/>
          <w:szCs w:val="28"/>
        </w:rPr>
        <w:t xml:space="preserve">145 </w:t>
      </w:r>
      <w:r w:rsidRPr="006659DE">
        <w:rPr>
          <w:i/>
          <w:sz w:val="28"/>
          <w:szCs w:val="28"/>
        </w:rPr>
        <w:t>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0D61BAC9" w:rsidR="007B458A" w:rsidRPr="000C5F9A" w:rsidRDefault="007B458A" w:rsidP="007B458A">
      <w:pPr>
        <w:pStyle w:val="Titre2"/>
      </w:pPr>
      <w:r w:rsidRPr="000C5F9A">
        <w:t xml:space="preserve">J'AI </w:t>
      </w:r>
      <w:r w:rsidR="00BF7A2D">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lastRenderedPageBreak/>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0FE30CF4" w14:textId="77777777" w:rsidR="00CA36A7"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FA00D9">
        <w:t xml:space="preserve"> </w:t>
      </w:r>
    </w:p>
    <w:p w14:paraId="5B9694E5" w14:textId="77777777" w:rsidR="00CA36A7" w:rsidRDefault="00CA36A7"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1474B027" w:rsidR="001D5BDC" w:rsidRPr="000C5F9A" w:rsidRDefault="00FA00D9" w:rsidP="001D5BDC">
      <w:pPr>
        <w:pBdr>
          <w:top w:val="single" w:sz="4" w:space="1" w:color="auto"/>
          <w:left w:val="single" w:sz="4" w:space="1" w:color="auto"/>
          <w:bottom w:val="single" w:sz="4" w:space="1" w:color="auto"/>
          <w:right w:val="single" w:sz="4" w:space="1" w:color="auto"/>
        </w:pBdr>
        <w:shd w:val="clear" w:color="auto" w:fill="E7E6E6" w:themeFill="background2"/>
      </w:pPr>
      <w:r w:rsidRPr="00FA00D9">
        <w:t>Toutefois, si l'assignation lui est délivrée dans un délai inférieur ou égal à quinze jours avant la date de l'audience, il peut constituer avocat jusqu'à l'audience.</w:t>
      </w:r>
    </w:p>
    <w:p w14:paraId="5E403855" w14:textId="331F0479"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47FB709F" w14:textId="6D16F4DD" w:rsidR="006F6928" w:rsidRDefault="006F6928" w:rsidP="001D5BDC">
      <w:pPr>
        <w:pBdr>
          <w:top w:val="single" w:sz="4" w:space="1" w:color="auto"/>
          <w:left w:val="single" w:sz="4" w:space="1" w:color="auto"/>
          <w:bottom w:val="single" w:sz="4" w:space="1" w:color="auto"/>
          <w:right w:val="single" w:sz="4" w:space="1" w:color="auto"/>
        </w:pBdr>
        <w:shd w:val="clear" w:color="auto" w:fill="E7E6E6" w:themeFill="background2"/>
      </w:pPr>
      <w:r w:rsidRPr="006F6928">
        <w:t>Que l’État, les départements, les régions, les communes et les établissements publics peuvent se faire représenter ou assister par un fonctionnaire ou un agent de leur administration.</w:t>
      </w:r>
    </w:p>
    <w:p w14:paraId="1E037CD8" w14:textId="77777777" w:rsidR="006F6928" w:rsidRPr="000C5F9A" w:rsidRDefault="006F6928"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lastRenderedPageBreak/>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4EA72A0A" w14:textId="77777777" w:rsidR="005C0C43" w:rsidRDefault="005C0C43" w:rsidP="005C0C43">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7E04A476" w14:textId="77777777" w:rsidR="005C0C43" w:rsidRDefault="005C0C43" w:rsidP="005C0C43">
      <w:pPr>
        <w:shd w:val="clear" w:color="auto" w:fill="FFFFFF" w:themeFill="background1"/>
        <w:rPr>
          <w:iCs/>
          <w:sz w:val="22"/>
          <w:szCs w:val="22"/>
        </w:rPr>
      </w:pPr>
    </w:p>
    <w:p w14:paraId="1326331D" w14:textId="77777777" w:rsidR="005C0C43" w:rsidRDefault="005C0C43" w:rsidP="005C0C43">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3B8396E8" w14:textId="77777777" w:rsidR="005C0C43" w:rsidRDefault="005C0C43" w:rsidP="005C0C43">
      <w:pPr>
        <w:shd w:val="clear" w:color="auto" w:fill="FFFFFF" w:themeFill="background1"/>
        <w:rPr>
          <w:iCs/>
          <w:sz w:val="22"/>
          <w:szCs w:val="22"/>
        </w:rPr>
      </w:pPr>
    </w:p>
    <w:p w14:paraId="42412509" w14:textId="77777777" w:rsidR="005C0C43" w:rsidRDefault="005C0C43" w:rsidP="005C0C43">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1D1E591E" w14:textId="77777777" w:rsidR="005C0C43" w:rsidRPr="000C5F9A" w:rsidRDefault="005C0C43"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240BFC8B" w14:textId="77777777" w:rsidR="00F94554" w:rsidRDefault="00F94554" w:rsidP="00F94554"/>
    <w:p w14:paraId="7AE420EE" w14:textId="77777777" w:rsidR="00F94554" w:rsidRPr="004A2A62" w:rsidRDefault="00F94554" w:rsidP="00F94554">
      <w:pPr>
        <w:pStyle w:val="Paragraphedeliste"/>
        <w:numPr>
          <w:ilvl w:val="0"/>
          <w:numId w:val="17"/>
        </w:numPr>
        <w:rPr>
          <w:b/>
          <w:u w:val="single"/>
        </w:rPr>
      </w:pPr>
      <w:r w:rsidRPr="004A2A62">
        <w:rPr>
          <w:b/>
          <w:u w:val="single"/>
        </w:rPr>
        <w:t xml:space="preserve">Sur </w:t>
      </w:r>
      <w:r>
        <w:rPr>
          <w:b/>
          <w:u w:val="single"/>
        </w:rPr>
        <w:t xml:space="preserve">l’adoption de mesure d’instruction </w:t>
      </w:r>
      <w:r w:rsidRPr="00D62FA3">
        <w:rPr>
          <w:b/>
          <w:i/>
          <w:u w:val="single"/>
        </w:rPr>
        <w:t>in futurum</w:t>
      </w:r>
    </w:p>
    <w:p w14:paraId="1CD052C2" w14:textId="77777777" w:rsidR="00F94554" w:rsidRDefault="00F94554" w:rsidP="00F94554"/>
    <w:p w14:paraId="7F039F89" w14:textId="77777777" w:rsidR="00F94554" w:rsidRPr="00D81F0D" w:rsidRDefault="00F94554" w:rsidP="00F94554">
      <w:pPr>
        <w:pStyle w:val="Paragraphedeliste"/>
        <w:numPr>
          <w:ilvl w:val="0"/>
          <w:numId w:val="18"/>
        </w:numPr>
        <w:rPr>
          <w:b/>
          <w:u w:val="single"/>
        </w:rPr>
      </w:pPr>
      <w:r w:rsidRPr="00D81F0D">
        <w:rPr>
          <w:b/>
          <w:u w:val="single"/>
        </w:rPr>
        <w:t>En droit</w:t>
      </w:r>
    </w:p>
    <w:p w14:paraId="490C3A6A" w14:textId="77777777" w:rsidR="00F94554" w:rsidRDefault="00F94554" w:rsidP="00F94554"/>
    <w:p w14:paraId="7529C0DB" w14:textId="77777777" w:rsidR="00F94554" w:rsidRDefault="00F94554" w:rsidP="00F94554">
      <w:r w:rsidRPr="00D62FA3">
        <w:t>Lorsque le Juge des référés est saisi sur le fondement de</w:t>
      </w:r>
      <w:r>
        <w:t xml:space="preserve"> </w:t>
      </w:r>
      <w:r w:rsidRPr="00D62FA3">
        <w:rPr>
          <w:u w:val="single"/>
        </w:rPr>
        <w:t>l’article 145</w:t>
      </w:r>
      <w:r>
        <w:t xml:space="preserve"> </w:t>
      </w:r>
      <w:r w:rsidRPr="00D62FA3">
        <w:t>du CPC, la mesure sollicitée doit être justifiée par la nécessité de conserver ou d’établir les faits en vue d’un procès potentiel.</w:t>
      </w:r>
      <w:r>
        <w:t xml:space="preserve"> </w:t>
      </w:r>
    </w:p>
    <w:p w14:paraId="5DD89548" w14:textId="77777777" w:rsidR="00F94554" w:rsidRDefault="00F94554" w:rsidP="00F94554"/>
    <w:p w14:paraId="58E3D195" w14:textId="77777777" w:rsidR="00F94554" w:rsidRDefault="00F94554" w:rsidP="00F94554">
      <w:r>
        <w:sym w:font="Wingdings" w:char="F0E8"/>
      </w:r>
      <w:r w:rsidRPr="00D81F0D">
        <w:rPr>
          <w:b/>
          <w:u w:val="single"/>
        </w:rPr>
        <w:t>Sur les conditions</w:t>
      </w:r>
    </w:p>
    <w:p w14:paraId="36EC2695" w14:textId="77777777" w:rsidR="00F94554" w:rsidRDefault="00F94554" w:rsidP="00F94554"/>
    <w:p w14:paraId="1C90F9B9" w14:textId="77777777" w:rsidR="00F94554" w:rsidRDefault="00F94554" w:rsidP="00F94554">
      <w:r>
        <w:t>Il ressort du texte que la mise en œuvre de cette procédure est subordonnée à la réunion de conditions cumulatives.</w:t>
      </w:r>
    </w:p>
    <w:p w14:paraId="00C8EEA6" w14:textId="77777777" w:rsidR="00F94554" w:rsidRDefault="00F94554" w:rsidP="00F94554"/>
    <w:p w14:paraId="377811E0" w14:textId="77777777" w:rsidR="00F94554" w:rsidRDefault="00F94554" w:rsidP="00F94554">
      <w:r w:rsidRPr="00D62FA3">
        <w:rPr>
          <w:b/>
          <w:i/>
        </w:rPr>
        <w:t>D’une part</w:t>
      </w:r>
      <w:r>
        <w:t>, l</w:t>
      </w:r>
      <w:r w:rsidRPr="00D62FA3">
        <w:t>a demande ne peut être accueillie que si le demandeur justifie d’un motif légitime, dont l’existence est appréciée souverainement par les juges du fond (</w:t>
      </w:r>
      <w:r w:rsidRPr="00D62FA3">
        <w:rPr>
          <w:i/>
          <w:iCs/>
          <w:u w:val="single"/>
        </w:rPr>
        <w:t>Cass. 2</w:t>
      </w:r>
      <w:r w:rsidRPr="00D62FA3">
        <w:rPr>
          <w:i/>
          <w:iCs/>
          <w:u w:val="single"/>
          <w:vertAlign w:val="superscript"/>
        </w:rPr>
        <w:t>e</w:t>
      </w:r>
      <w:r w:rsidRPr="00D62FA3">
        <w:rPr>
          <w:i/>
          <w:iCs/>
          <w:u w:val="single"/>
        </w:rPr>
        <w:t> civ., 8 février 200, n°05-14198</w:t>
      </w:r>
      <w:r w:rsidRPr="00D62FA3">
        <w:t>).</w:t>
      </w:r>
    </w:p>
    <w:p w14:paraId="1452815D" w14:textId="77777777" w:rsidR="00F94554" w:rsidRPr="00D62FA3" w:rsidRDefault="00F94554" w:rsidP="00F94554"/>
    <w:p w14:paraId="3C399A90" w14:textId="77777777" w:rsidR="00F94554" w:rsidRPr="00D62FA3" w:rsidRDefault="00F94554" w:rsidP="00F94554">
      <w:r w:rsidRPr="00D62FA3">
        <w:t>La légitimité du motif est étroitement liée à la situation des parties et à la nature de la mesure sollicitée, le motif n’étant légitime que si les faits à établir ou à conserver sont eux-mêmes pertinents et utiles.</w:t>
      </w:r>
    </w:p>
    <w:p w14:paraId="08EB4E9F" w14:textId="77777777" w:rsidR="00F94554" w:rsidRDefault="00F94554" w:rsidP="00F94554"/>
    <w:p w14:paraId="4633E81A" w14:textId="77777777" w:rsidR="00F94554" w:rsidRPr="00D62FA3" w:rsidRDefault="00F94554" w:rsidP="00F94554">
      <w:r w:rsidRPr="00D62FA3">
        <w:t>Le juge n’a pas à caractériser la légitimité de la mesure au regard des différents fondements juridiques possibles de l’action en vue de laquelle elle était sollicitée (</w:t>
      </w:r>
      <w:r w:rsidRPr="00D62FA3">
        <w:rPr>
          <w:i/>
          <w:iCs/>
          <w:u w:val="single"/>
        </w:rPr>
        <w:t>Cass. 2</w:t>
      </w:r>
      <w:r w:rsidRPr="00D62FA3">
        <w:rPr>
          <w:i/>
          <w:iCs/>
          <w:u w:val="single"/>
          <w:vertAlign w:val="superscript"/>
        </w:rPr>
        <w:t>e</w:t>
      </w:r>
      <w:r w:rsidRPr="00D62FA3">
        <w:rPr>
          <w:i/>
          <w:iCs/>
          <w:u w:val="single"/>
        </w:rPr>
        <w:t> civ., 8 juin 2000, n° 97-13962</w:t>
      </w:r>
      <w:r w:rsidRPr="00D62FA3">
        <w:t>).</w:t>
      </w:r>
    </w:p>
    <w:p w14:paraId="505C0C14" w14:textId="77777777" w:rsidR="00F94554" w:rsidRDefault="00F94554" w:rsidP="00F94554"/>
    <w:p w14:paraId="764844E9" w14:textId="77777777" w:rsidR="00F94554" w:rsidRDefault="00F94554" w:rsidP="00F94554">
      <w:r w:rsidRPr="00D62FA3">
        <w:t>Les mesures d’instruction peuvent tendre à la conservation des preuves, mais aussi à l’établissement de faits, et peuvent concerner des tiers, si aucun empêchement légitime ne s’y oppose (</w:t>
      </w:r>
      <w:r w:rsidRPr="00D62FA3">
        <w:rPr>
          <w:i/>
          <w:iCs/>
          <w:u w:val="single"/>
        </w:rPr>
        <w:t>Cass. 2</w:t>
      </w:r>
      <w:r w:rsidRPr="00D62FA3">
        <w:rPr>
          <w:i/>
          <w:iCs/>
          <w:u w:val="single"/>
          <w:vertAlign w:val="superscript"/>
        </w:rPr>
        <w:t>e</w:t>
      </w:r>
      <w:r w:rsidRPr="00D62FA3">
        <w:rPr>
          <w:i/>
          <w:iCs/>
          <w:u w:val="single"/>
        </w:rPr>
        <w:t> civ., 26 mai 2011, n°10-20048</w:t>
      </w:r>
      <w:r w:rsidRPr="00D62FA3">
        <w:t>).</w:t>
      </w:r>
    </w:p>
    <w:p w14:paraId="4D88A331" w14:textId="77777777" w:rsidR="00F94554" w:rsidRDefault="00F94554" w:rsidP="00F94554"/>
    <w:p w14:paraId="0DE97515" w14:textId="77777777" w:rsidR="00F94554" w:rsidRDefault="00F94554" w:rsidP="00F94554">
      <w:r>
        <w:t>En tout état de cause, l</w:t>
      </w:r>
      <w:r w:rsidRPr="007C58AA">
        <w:t>es mesures d’investigation ordonnées, que ce soit en référé ou sur requête, doivent être légalement admissibles.</w:t>
      </w:r>
    </w:p>
    <w:p w14:paraId="503D57C8" w14:textId="77777777" w:rsidR="00F94554" w:rsidRDefault="00F94554" w:rsidP="00F94554"/>
    <w:p w14:paraId="5C5D737D" w14:textId="77777777" w:rsidR="00F94554" w:rsidRPr="00D62FA3" w:rsidRDefault="00F94554" w:rsidP="00F94554">
      <w:r w:rsidRPr="001F5B3D">
        <w:rPr>
          <w:b/>
          <w:i/>
        </w:rPr>
        <w:lastRenderedPageBreak/>
        <w:t>D’autre part</w:t>
      </w:r>
      <w:r>
        <w:t>, m</w:t>
      </w:r>
      <w:r w:rsidRPr="00D62FA3">
        <w:t>esure par nature préventive, le référé de</w:t>
      </w:r>
      <w:r>
        <w:t xml:space="preserve"> </w:t>
      </w:r>
      <w:r w:rsidRPr="00D62FA3">
        <w:rPr>
          <w:u w:val="single"/>
        </w:rPr>
        <w:t>l’article 145</w:t>
      </w:r>
      <w:r>
        <w:t xml:space="preserve"> </w:t>
      </w:r>
      <w:r w:rsidRPr="00D62FA3">
        <w:t>du code de procédure civile, parfois appelé « référé instruction », a pour objet de permettre à un sujet de droit de se procurer une preuve dont il pourrait avoir besoin à l’appui d’un procès potentiel.</w:t>
      </w:r>
      <w:r>
        <w:t xml:space="preserve"> Aussi, e</w:t>
      </w:r>
      <w:r w:rsidRPr="00D62FA3">
        <w:t>ncore faut-il que ce dernier soit envisageable.</w:t>
      </w:r>
    </w:p>
    <w:p w14:paraId="08246877" w14:textId="77777777" w:rsidR="00F94554" w:rsidRDefault="00F94554" w:rsidP="00F94554"/>
    <w:p w14:paraId="77C85FD7" w14:textId="77777777" w:rsidR="00F94554" w:rsidRDefault="00F94554" w:rsidP="00F94554">
      <w:r w:rsidRPr="00D62FA3">
        <w:t>Le litige doit être potentiel, ce qui signifie qu’il ne doit pas être en cours. Selon une jurisprudence bien établie, la condition tenant à l’absence d’instance au fond, prescrite par le texte (« </w:t>
      </w:r>
      <w:r w:rsidRPr="00D62FA3">
        <w:rPr>
          <w:i/>
          <w:iCs/>
        </w:rPr>
        <w:t>avant tout procès</w:t>
      </w:r>
      <w:r w:rsidRPr="00D62FA3">
        <w:t> »), est une condition de recevabilité devant être appréciée, et conséquemment remplie, au jour de la saisine du juge des référés.</w:t>
      </w:r>
    </w:p>
    <w:p w14:paraId="5D11A74D" w14:textId="77777777" w:rsidR="00F94554" w:rsidRPr="00D62FA3" w:rsidRDefault="00F94554" w:rsidP="00F94554"/>
    <w:p w14:paraId="094C19E8" w14:textId="77777777" w:rsidR="00F94554" w:rsidRDefault="00F94554" w:rsidP="00F94554">
      <w:r w:rsidRPr="00D62FA3">
        <w:t xml:space="preserve">Par procès, il faut entendre une instance au fond. Dans un arrêt du 11 mai 1993, la Cour de cassation a considéré qu’une mesure </w:t>
      </w:r>
      <w:r w:rsidRPr="001F5B3D">
        <w:rPr>
          <w:i/>
        </w:rPr>
        <w:t>in futurum</w:t>
      </w:r>
      <w:r w:rsidRPr="00D62FA3">
        <w:t xml:space="preserve"> devait être ordonnée « </w:t>
      </w:r>
      <w:r w:rsidRPr="001F5B3D">
        <w:rPr>
          <w:i/>
        </w:rPr>
        <w:t>avant tout procès, c’est-à-dire avant que le juge du fond soit saisi du procès en vue duquel (cette mesure) est sollicitée</w:t>
      </w:r>
      <w:r w:rsidRPr="00D62FA3">
        <w:t> » (</w:t>
      </w:r>
      <w:r w:rsidRPr="00D62FA3">
        <w:rPr>
          <w:i/>
          <w:iCs/>
          <w:u w:val="single"/>
        </w:rPr>
        <w:t>Cass. com., 11 mai 1993</w:t>
      </w:r>
      <w:r w:rsidRPr="00D62FA3">
        <w:t>).</w:t>
      </w:r>
    </w:p>
    <w:p w14:paraId="478A8018" w14:textId="77777777" w:rsidR="00F94554" w:rsidRPr="00D62FA3" w:rsidRDefault="00F94554" w:rsidP="00F94554"/>
    <w:p w14:paraId="2760F602" w14:textId="77777777" w:rsidR="00F94554" w:rsidRPr="00D62FA3" w:rsidRDefault="00F94554" w:rsidP="00F94554">
      <w:r w:rsidRPr="00D62FA3">
        <w:t>La saisine du Juge des référés n’interdit donc pas l’introduction d’une demande sur le fondement de</w:t>
      </w:r>
      <w:r>
        <w:t xml:space="preserve"> </w:t>
      </w:r>
      <w:r w:rsidRPr="00D62FA3">
        <w:rPr>
          <w:u w:val="single"/>
        </w:rPr>
        <w:t>l’article 145</w:t>
      </w:r>
      <w:r>
        <w:t xml:space="preserve"> </w:t>
      </w:r>
      <w:r w:rsidRPr="00D62FA3">
        <w:t>du CPC (</w:t>
      </w:r>
      <w:r w:rsidRPr="00D62FA3">
        <w:rPr>
          <w:i/>
          <w:iCs/>
          <w:u w:val="single"/>
        </w:rPr>
        <w:t>Cass. 2</w:t>
      </w:r>
      <w:r w:rsidRPr="00D62FA3">
        <w:rPr>
          <w:i/>
          <w:iCs/>
          <w:u w:val="single"/>
          <w:vertAlign w:val="superscript"/>
        </w:rPr>
        <w:t>e</w:t>
      </w:r>
      <w:r w:rsidRPr="00D62FA3">
        <w:rPr>
          <w:i/>
          <w:iCs/>
          <w:u w:val="single"/>
        </w:rPr>
        <w:t> civ., 17 juin 1998</w:t>
      </w:r>
      <w:r w:rsidRPr="00D62FA3">
        <w:t>).</w:t>
      </w:r>
    </w:p>
    <w:p w14:paraId="4DCA63AC" w14:textId="77777777" w:rsidR="00F94554" w:rsidRDefault="00F94554" w:rsidP="00F94554"/>
    <w:p w14:paraId="685E991F" w14:textId="77777777" w:rsidR="00F94554" w:rsidRDefault="00F94554" w:rsidP="00F94554">
      <w:r>
        <w:sym w:font="Wingdings" w:char="F0E8"/>
      </w:r>
      <w:r w:rsidRPr="00D81F0D">
        <w:rPr>
          <w:b/>
          <w:u w:val="single"/>
        </w:rPr>
        <w:t>Sur les mesures prises</w:t>
      </w:r>
    </w:p>
    <w:p w14:paraId="102519B9" w14:textId="77777777" w:rsidR="00F94554" w:rsidRDefault="00F94554" w:rsidP="00F94554"/>
    <w:p w14:paraId="7A58916A" w14:textId="77777777" w:rsidR="00F94554" w:rsidRPr="00D62FA3" w:rsidRDefault="00F94554" w:rsidP="00F94554">
      <w:r>
        <w:t>L</w:t>
      </w:r>
      <w:r w:rsidRPr="00D62FA3">
        <w:t>orsque le juge des référés est saisi sur le fondement de</w:t>
      </w:r>
      <w:r>
        <w:t xml:space="preserve"> </w:t>
      </w:r>
      <w:r w:rsidRPr="00D62FA3">
        <w:rPr>
          <w:u w:val="single"/>
        </w:rPr>
        <w:t>l’article 145</w:t>
      </w:r>
      <w:r>
        <w:t xml:space="preserve"> </w:t>
      </w:r>
      <w:r w:rsidRPr="00D62FA3">
        <w:t>CPC, il peut prendre toutes les mesures d’instructions utiles légalement admissibles.</w:t>
      </w:r>
    </w:p>
    <w:p w14:paraId="32CF8D17" w14:textId="77777777" w:rsidR="00F94554" w:rsidRDefault="00F94554" w:rsidP="00F94554"/>
    <w:p w14:paraId="5F646F50" w14:textId="77777777" w:rsidR="00F94554" w:rsidRPr="00D62FA3" w:rsidRDefault="00F94554" w:rsidP="00F94554">
      <w:r w:rsidRPr="00D62FA3">
        <w:t>Ce qui importe, c’est que ces mesures répondent à l’un des deux objectifs suivants :</w:t>
      </w:r>
    </w:p>
    <w:p w14:paraId="2B0F469A" w14:textId="77777777" w:rsidR="00F94554" w:rsidRDefault="00F94554" w:rsidP="00F94554"/>
    <w:p w14:paraId="04144310" w14:textId="77777777" w:rsidR="00F94554" w:rsidRDefault="00F94554" w:rsidP="00F94554">
      <w:pPr>
        <w:pStyle w:val="Paragraphedeliste"/>
        <w:numPr>
          <w:ilvl w:val="0"/>
          <w:numId w:val="9"/>
        </w:numPr>
      </w:pPr>
      <w:r w:rsidRPr="00D62FA3">
        <w:t>Conserver la preuve d’un fait</w:t>
      </w:r>
    </w:p>
    <w:p w14:paraId="185D6A5F" w14:textId="77777777" w:rsidR="00F94554" w:rsidRPr="00D62FA3" w:rsidRDefault="00F94554" w:rsidP="00F94554">
      <w:pPr>
        <w:pStyle w:val="Paragraphedeliste"/>
        <w:numPr>
          <w:ilvl w:val="0"/>
          <w:numId w:val="9"/>
        </w:numPr>
      </w:pPr>
      <w:r w:rsidRPr="00D62FA3">
        <w:t>Établir la preuve d’un fait</w:t>
      </w:r>
    </w:p>
    <w:p w14:paraId="52C682C5" w14:textId="77777777" w:rsidR="00F94554" w:rsidRDefault="00F94554" w:rsidP="00F94554"/>
    <w:p w14:paraId="2493AB9D" w14:textId="77777777" w:rsidR="00F94554" w:rsidRDefault="00F94554" w:rsidP="00F94554">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502B7D07" w14:textId="77777777" w:rsidR="00F94554" w:rsidRDefault="00F94554" w:rsidP="00F94554"/>
    <w:p w14:paraId="2F684AF6" w14:textId="77777777" w:rsidR="00F94554" w:rsidRPr="00D62FA3" w:rsidRDefault="00F94554" w:rsidP="00F94554">
      <w:r>
        <w:t>À</w:t>
      </w:r>
      <w:r w:rsidRPr="00D62FA3">
        <w:t xml:space="preserve"> cet égard, ce peut être :</w:t>
      </w:r>
    </w:p>
    <w:p w14:paraId="4F109BE7" w14:textId="77777777" w:rsidR="00F94554" w:rsidRDefault="00F94554" w:rsidP="00F94554"/>
    <w:p w14:paraId="4B39D345" w14:textId="77777777" w:rsidR="00F94554" w:rsidRDefault="00F94554" w:rsidP="00F94554">
      <w:pPr>
        <w:pStyle w:val="Paragraphedeliste"/>
        <w:numPr>
          <w:ilvl w:val="0"/>
          <w:numId w:val="9"/>
        </w:numPr>
      </w:pPr>
      <w:r w:rsidRPr="00D62FA3">
        <w:t>La désignation d’un expert</w:t>
      </w:r>
    </w:p>
    <w:p w14:paraId="046ADC8E" w14:textId="77777777" w:rsidR="00F94554" w:rsidRDefault="00F94554" w:rsidP="00F94554">
      <w:pPr>
        <w:pStyle w:val="Paragraphedeliste"/>
        <w:numPr>
          <w:ilvl w:val="0"/>
          <w:numId w:val="9"/>
        </w:numPr>
      </w:pPr>
      <w:r w:rsidRPr="00D62FA3">
        <w:t>La désignation d’un huissier de justice</w:t>
      </w:r>
    </w:p>
    <w:p w14:paraId="129BE8F0" w14:textId="77777777" w:rsidR="00F94554" w:rsidRPr="00D62FA3" w:rsidRDefault="00F94554" w:rsidP="00F94554">
      <w:pPr>
        <w:pStyle w:val="Paragraphedeliste"/>
        <w:numPr>
          <w:ilvl w:val="0"/>
          <w:numId w:val="9"/>
        </w:numPr>
      </w:pPr>
      <w:r w:rsidRPr="00D62FA3">
        <w:t>La production forcée de pièces par une autre partie ou par un tiers</w:t>
      </w:r>
    </w:p>
    <w:p w14:paraId="0243FF41" w14:textId="77777777" w:rsidR="00F94554" w:rsidRDefault="00F94554" w:rsidP="00F94554"/>
    <w:p w14:paraId="05A41FB5" w14:textId="77777777" w:rsidR="00F94554" w:rsidRDefault="00F94554" w:rsidP="00F94554">
      <w:r w:rsidRPr="00D62FA3">
        <w:t>S’agissant de la production forcée de pièces, c’est de manière prétorienne que les « </w:t>
      </w:r>
      <w:r w:rsidRPr="00D62FA3">
        <w:rPr>
          <w:i/>
          <w:iCs/>
        </w:rPr>
        <w:t>mesures d’instruction</w:t>
      </w:r>
      <w:r w:rsidRPr="00D62FA3">
        <w:t> » ont été étendues à cette sollicitation, par combinaison des</w:t>
      </w:r>
      <w:r>
        <w:t xml:space="preserve"> </w:t>
      </w:r>
      <w:r w:rsidRPr="00D62FA3">
        <w:rPr>
          <w:u w:val="single"/>
        </w:rPr>
        <w:t>articles 10, 11</w:t>
      </w:r>
      <w:r>
        <w:t xml:space="preserve"> </w:t>
      </w:r>
      <w:r w:rsidRPr="00D62FA3">
        <w:t>et</w:t>
      </w:r>
      <w:r>
        <w:t xml:space="preserve"> </w:t>
      </w:r>
      <w:r w:rsidRPr="00D62FA3">
        <w:rPr>
          <w:u w:val="single"/>
        </w:rPr>
        <w:t>145</w:t>
      </w:r>
      <w:r>
        <w:rPr>
          <w:u w:val="single"/>
        </w:rPr>
        <w:t xml:space="preserve"> </w:t>
      </w:r>
      <w:r w:rsidRPr="00D62FA3">
        <w:t>du CPC.</w:t>
      </w:r>
    </w:p>
    <w:p w14:paraId="046113FD" w14:textId="77777777" w:rsidR="00F94554" w:rsidRPr="00D62FA3" w:rsidRDefault="00F94554" w:rsidP="00F94554"/>
    <w:p w14:paraId="1B4881FB" w14:textId="77777777" w:rsidR="00F94554" w:rsidRPr="00D62FA3" w:rsidRDefault="00F94554" w:rsidP="00F94554">
      <w:r w:rsidRPr="00D62FA3">
        <w:t>En effet,</w:t>
      </w:r>
      <w:r>
        <w:t xml:space="preserve"> </w:t>
      </w:r>
      <w:r w:rsidRPr="00D62FA3">
        <w:rPr>
          <w:u w:val="single"/>
        </w:rPr>
        <w:t>l’article 145</w:t>
      </w:r>
      <w:r>
        <w:t xml:space="preserve"> </w:t>
      </w:r>
      <w:r w:rsidRPr="00D62FA3">
        <w:t>relève d’un sous-titre du Code de procédure civile consacrée aux mesures d’instruction.</w:t>
      </w:r>
    </w:p>
    <w:p w14:paraId="47AF43CB" w14:textId="77777777" w:rsidR="00F94554" w:rsidRDefault="00F94554" w:rsidP="00F94554"/>
    <w:p w14:paraId="29C88BE1" w14:textId="77777777" w:rsidR="00F94554" w:rsidRPr="00D62FA3" w:rsidRDefault="00F94554" w:rsidP="00F94554">
      <w:r w:rsidRPr="00D62FA3">
        <w:t>La production de pièces est régie, quant à elle, par un sous-titre distinct, ce qui a fait dire à certains que, en l’absence de texte prévoyant expressément la production forcée de pièces par une autre partie ou par un tiers, cette mesure ne relevait pas de la compétence du Juge des référés saisi sur le fondement de</w:t>
      </w:r>
      <w:r>
        <w:t xml:space="preserve"> </w:t>
      </w:r>
      <w:r w:rsidRPr="00D62FA3">
        <w:rPr>
          <w:u w:val="single"/>
        </w:rPr>
        <w:t>l’article 145</w:t>
      </w:r>
      <w:r>
        <w:rPr>
          <w:u w:val="single"/>
        </w:rPr>
        <w:t xml:space="preserve"> </w:t>
      </w:r>
      <w:r w:rsidRPr="00D62FA3">
        <w:t>du CPC.</w:t>
      </w:r>
    </w:p>
    <w:p w14:paraId="0DAAF502" w14:textId="77777777" w:rsidR="00F94554" w:rsidRDefault="00F94554" w:rsidP="00F94554"/>
    <w:p w14:paraId="7285FF07" w14:textId="77777777" w:rsidR="00F94554" w:rsidRPr="00D62FA3" w:rsidRDefault="00F94554" w:rsidP="00F94554">
      <w:r w:rsidRPr="00D62FA3">
        <w:lastRenderedPageBreak/>
        <w:t>Reste que</w:t>
      </w:r>
      <w:r>
        <w:t xml:space="preserve"> </w:t>
      </w:r>
      <w:r w:rsidRPr="00D62FA3">
        <w:rPr>
          <w:u w:val="single"/>
        </w:rPr>
        <w:t>l’article 145</w:t>
      </w:r>
      <w:r>
        <w:t xml:space="preserve"> </w:t>
      </w:r>
      <w:r w:rsidRPr="00D62FA3">
        <w:t>est compris dans le titre VII du Code de procédure dédié à « </w:t>
      </w:r>
      <w:r w:rsidRPr="00D62FA3">
        <w:rPr>
          <w:i/>
          <w:iCs/>
        </w:rPr>
        <w:t>l’administration judiciaire de la preuve</w:t>
      </w:r>
      <w:r w:rsidRPr="00D62FA3">
        <w:t> ».</w:t>
      </w:r>
    </w:p>
    <w:p w14:paraId="19959D51" w14:textId="77777777" w:rsidR="00F94554" w:rsidRDefault="00F94554" w:rsidP="00F94554"/>
    <w:p w14:paraId="1BC0E3F3" w14:textId="77777777" w:rsidR="00F94554" w:rsidRDefault="00F94554" w:rsidP="00F94554">
      <w:r w:rsidRPr="00D62FA3">
        <w:t>C’est la raison pour laquelle la Cour de cassation a admis que le juge des référés puisse ordonner la production forcée de pièces détenues, soit par une autre partie (</w:t>
      </w:r>
      <w:r w:rsidRPr="00D62FA3">
        <w:rPr>
          <w:i/>
          <w:iCs/>
          <w:u w:val="single"/>
        </w:rPr>
        <w:t>Cass. com. 11 avril 1995, n° 92-20985</w:t>
      </w:r>
      <w:r w:rsidRPr="00D62FA3">
        <w:t> ; </w:t>
      </w:r>
      <w:r w:rsidRPr="00D62FA3">
        <w:rPr>
          <w:i/>
          <w:iCs/>
          <w:u w:val="single"/>
        </w:rPr>
        <w:t>Cass. 2</w:t>
      </w:r>
      <w:r w:rsidRPr="00D62FA3">
        <w:rPr>
          <w:i/>
          <w:iCs/>
          <w:u w:val="single"/>
          <w:vertAlign w:val="superscript"/>
        </w:rPr>
        <w:t>e</w:t>
      </w:r>
      <w:r w:rsidRPr="00D62FA3">
        <w:rPr>
          <w:i/>
          <w:iCs/>
          <w:u w:val="single"/>
        </w:rPr>
        <w:t>civ. 23 septembre 2004, n° 02-16459</w:t>
      </w:r>
      <w:r w:rsidRPr="00D62FA3">
        <w:t> ; </w:t>
      </w:r>
      <w:r w:rsidRPr="00D62FA3">
        <w:rPr>
          <w:i/>
          <w:iCs/>
          <w:u w:val="single"/>
        </w:rPr>
        <w:t>Cass. 2</w:t>
      </w:r>
      <w:r w:rsidRPr="00D62FA3">
        <w:rPr>
          <w:i/>
          <w:iCs/>
          <w:u w:val="single"/>
          <w:vertAlign w:val="superscript"/>
        </w:rPr>
        <w:t>e</w:t>
      </w:r>
      <w:r w:rsidRPr="00D62FA3">
        <w:rPr>
          <w:i/>
          <w:iCs/>
          <w:u w:val="single"/>
        </w:rPr>
        <w:t> civ., 17 février 2011, n° 10-30638</w:t>
      </w:r>
      <w:r w:rsidRPr="00D62FA3">
        <w:t>) ou par des tiers (</w:t>
      </w:r>
      <w:r w:rsidRPr="00D62FA3">
        <w:rPr>
          <w:i/>
          <w:iCs/>
          <w:u w:val="single"/>
        </w:rPr>
        <w:t>Cass. 1</w:t>
      </w:r>
      <w:r w:rsidRPr="00D62FA3">
        <w:rPr>
          <w:i/>
          <w:iCs/>
          <w:u w:val="single"/>
          <w:vertAlign w:val="superscript"/>
        </w:rPr>
        <w:t>ère</w:t>
      </w:r>
      <w:r w:rsidRPr="00D62FA3">
        <w:rPr>
          <w:i/>
          <w:iCs/>
          <w:u w:val="single"/>
        </w:rPr>
        <w:t> civ., 20 décembre 1993, n° 92-12819</w:t>
      </w:r>
      <w:r w:rsidRPr="00D62FA3">
        <w:t> ; </w:t>
      </w:r>
      <w:r w:rsidRPr="00D62FA3">
        <w:rPr>
          <w:i/>
          <w:iCs/>
          <w:u w:val="single"/>
        </w:rPr>
        <w:t>Cass. 2</w:t>
      </w:r>
      <w:r w:rsidRPr="00D62FA3">
        <w:rPr>
          <w:i/>
          <w:iCs/>
          <w:u w:val="single"/>
          <w:vertAlign w:val="superscript"/>
        </w:rPr>
        <w:t>e</w:t>
      </w:r>
      <w:r w:rsidRPr="00D62FA3">
        <w:rPr>
          <w:i/>
          <w:iCs/>
          <w:u w:val="single"/>
        </w:rPr>
        <w:t> civ., 26 mai 2011, n° 10-20048</w:t>
      </w:r>
      <w:r w:rsidRPr="00D62FA3">
        <w:t>).</w:t>
      </w:r>
    </w:p>
    <w:p w14:paraId="51F5AB9B" w14:textId="77777777" w:rsidR="00F94554" w:rsidRPr="00D62FA3" w:rsidRDefault="00F94554" w:rsidP="00F94554"/>
    <w:p w14:paraId="58C53A57" w14:textId="77777777" w:rsidR="00F94554" w:rsidRPr="00D62FA3" w:rsidRDefault="00F94554" w:rsidP="00F94554">
      <w:r w:rsidRPr="00D62FA3">
        <w:t>Il a, en effet, été considéré que cette production forcée était de nature à contribuer à la bonne « </w:t>
      </w:r>
      <w:r w:rsidRPr="00D62FA3">
        <w:rPr>
          <w:i/>
          <w:iCs/>
        </w:rPr>
        <w:t>instruction </w:t>
      </w:r>
      <w:r w:rsidRPr="00D62FA3">
        <w:t>» de l’affaire.</w:t>
      </w:r>
    </w:p>
    <w:p w14:paraId="215BFE10" w14:textId="77777777" w:rsidR="00F94554" w:rsidRDefault="00F94554" w:rsidP="00F94554"/>
    <w:p w14:paraId="612E7936" w14:textId="77777777" w:rsidR="00F94554" w:rsidRPr="00D62FA3" w:rsidRDefault="00F94554" w:rsidP="00F94554">
      <w:r w:rsidRPr="00D62FA3">
        <w:t>Pratiquement, il conviendra, de solliciter la production forcée de pièces sous astreinte, afin que l’ordonnance rendue puisse être exécutée efficacement.</w:t>
      </w:r>
    </w:p>
    <w:p w14:paraId="4EECFECF" w14:textId="77777777" w:rsidR="00F94554" w:rsidRPr="00D62FA3" w:rsidRDefault="00F94554" w:rsidP="00F94554">
      <w:r w:rsidRPr="00D62FA3">
        <w:t>Enfin, Lorsque la demande de production forcée de pièces est sollicitée en cours de procédure, il conviendra de se fonder sur les</w:t>
      </w:r>
      <w:r>
        <w:t xml:space="preserve"> </w:t>
      </w:r>
      <w:r w:rsidRPr="00D62FA3">
        <w:rPr>
          <w:u w:val="single"/>
        </w:rPr>
        <w:t>articles 11</w:t>
      </w:r>
      <w:r>
        <w:t xml:space="preserve"> </w:t>
      </w:r>
      <w:r w:rsidRPr="00D62FA3">
        <w:t>et</w:t>
      </w:r>
      <w:r>
        <w:t xml:space="preserve"> </w:t>
      </w:r>
      <w:r w:rsidRPr="00D62FA3">
        <w:rPr>
          <w:u w:val="single"/>
        </w:rPr>
        <w:t>138</w:t>
      </w:r>
      <w:r>
        <w:t xml:space="preserve"> </w:t>
      </w:r>
      <w:r w:rsidRPr="00D62FA3">
        <w:t>du Code de procédure civile.</w:t>
      </w:r>
    </w:p>
    <w:p w14:paraId="74F81E24" w14:textId="77777777" w:rsidR="00F94554" w:rsidRDefault="00F94554" w:rsidP="00F94554"/>
    <w:p w14:paraId="6DA94E33" w14:textId="77777777" w:rsidR="00F94554" w:rsidRPr="00B126B4" w:rsidRDefault="00F94554" w:rsidP="00F94554">
      <w:pPr>
        <w:pStyle w:val="Paragraphedeliste"/>
        <w:numPr>
          <w:ilvl w:val="0"/>
          <w:numId w:val="18"/>
        </w:numPr>
        <w:rPr>
          <w:b/>
          <w:u w:val="single"/>
        </w:rPr>
      </w:pPr>
      <w:r w:rsidRPr="00B126B4">
        <w:rPr>
          <w:b/>
          <w:u w:val="single"/>
        </w:rPr>
        <w:t>En l’espèce</w:t>
      </w:r>
    </w:p>
    <w:p w14:paraId="1329F5F0" w14:textId="77777777" w:rsidR="00F94554" w:rsidRDefault="00F94554" w:rsidP="00F94554"/>
    <w:p w14:paraId="4BCCB1F5" w14:textId="77777777" w:rsidR="00F94554" w:rsidRDefault="00F94554" w:rsidP="00F94554"/>
    <w:p w14:paraId="06D3DF92" w14:textId="77777777" w:rsidR="00F94554" w:rsidRPr="00D81F0D" w:rsidRDefault="00F94554" w:rsidP="00F94554">
      <w:pPr>
        <w:jc w:val="center"/>
        <w:rPr>
          <w:i/>
        </w:rPr>
      </w:pPr>
      <w:r w:rsidRPr="00D81F0D">
        <w:rPr>
          <w:i/>
        </w:rPr>
        <w:t>[…]</w:t>
      </w:r>
    </w:p>
    <w:p w14:paraId="0934962B" w14:textId="77777777" w:rsidR="00F94554" w:rsidRDefault="00F94554" w:rsidP="00F94554"/>
    <w:p w14:paraId="4171B6F4" w14:textId="77777777" w:rsidR="00F94554" w:rsidRDefault="00F94554" w:rsidP="00F94554"/>
    <w:p w14:paraId="4284857C" w14:textId="77777777" w:rsidR="00F94554" w:rsidRDefault="00F94554" w:rsidP="00F94554">
      <w:r>
        <w:sym w:font="Wingdings" w:char="F0E8"/>
      </w:r>
      <w:r w:rsidRPr="004A2A62">
        <w:rPr>
          <w:b/>
          <w:u w:val="single"/>
        </w:rPr>
        <w:t>En conséquence,</w:t>
      </w:r>
      <w:r>
        <w:t xml:space="preserve"> il est donc demandé au Président du Tribunal de céans d’ordonner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7101AD87" w14:textId="77777777" w:rsidR="00F94554" w:rsidRDefault="00F94554" w:rsidP="00F94554"/>
    <w:p w14:paraId="686AF8D2" w14:textId="77777777" w:rsidR="00F94554" w:rsidRDefault="00F94554" w:rsidP="00F94554"/>
    <w:p w14:paraId="6AD875F7" w14:textId="77777777" w:rsidR="00F94554" w:rsidRPr="004A2A62" w:rsidRDefault="00F94554" w:rsidP="00F94554">
      <w:pPr>
        <w:pStyle w:val="Paragraphedeliste"/>
        <w:numPr>
          <w:ilvl w:val="0"/>
          <w:numId w:val="17"/>
        </w:numPr>
        <w:rPr>
          <w:b/>
        </w:rPr>
      </w:pPr>
      <w:r w:rsidRPr="004A2A62">
        <w:rPr>
          <w:b/>
          <w:u w:val="single"/>
        </w:rPr>
        <w:t>Sur les frais irrépétibles et les dépens</w:t>
      </w:r>
    </w:p>
    <w:p w14:paraId="0D32713B" w14:textId="77777777" w:rsidR="00F94554" w:rsidRDefault="00F94554" w:rsidP="00F94554"/>
    <w:p w14:paraId="632E9882" w14:textId="77777777" w:rsidR="00F94554" w:rsidRDefault="00F94554" w:rsidP="00F94554">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0D9D9649" w14:textId="77777777" w:rsidR="00F94554" w:rsidRDefault="00F94554" w:rsidP="00F94554"/>
    <w:p w14:paraId="719B26F0" w14:textId="77777777" w:rsidR="00F94554" w:rsidRDefault="00F94554" w:rsidP="00F94554">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4A01DF83" w14:textId="77777777" w:rsidR="00F94554" w:rsidRPr="00780FAB" w:rsidRDefault="00F94554" w:rsidP="00F94554">
      <w:pPr>
        <w:rPr>
          <w:i/>
        </w:rPr>
      </w:pPr>
      <w:r w:rsidRPr="00780FAB">
        <w:rPr>
          <w:i/>
        </w:rPr>
        <w:t>Vu l</w:t>
      </w:r>
      <w:r>
        <w:rPr>
          <w:i/>
        </w:rPr>
        <w:t>’article 145 du Code de procédure civile</w:t>
      </w:r>
    </w:p>
    <w:p w14:paraId="44E88446" w14:textId="77777777" w:rsidR="00F94554" w:rsidRPr="00C35FDB" w:rsidRDefault="00F94554" w:rsidP="00F94554">
      <w:pPr>
        <w:rPr>
          <w:i/>
        </w:rPr>
      </w:pPr>
      <w:r w:rsidRPr="00C35FDB">
        <w:rPr>
          <w:i/>
        </w:rPr>
        <w:t>Vu la jurisprudence</w:t>
      </w:r>
    </w:p>
    <w:p w14:paraId="2727498C" w14:textId="77777777" w:rsidR="00F94554" w:rsidRPr="00C35FDB" w:rsidRDefault="00F94554" w:rsidP="00F94554">
      <w:pPr>
        <w:rPr>
          <w:i/>
        </w:rPr>
      </w:pPr>
      <w:r w:rsidRPr="00C35FDB">
        <w:rPr>
          <w:i/>
        </w:rPr>
        <w:t>Vu les pièces versées au débat</w:t>
      </w:r>
    </w:p>
    <w:p w14:paraId="293D4AB7" w14:textId="77777777" w:rsidR="00F94554" w:rsidRDefault="00F94554" w:rsidP="00F94554"/>
    <w:p w14:paraId="2F681391" w14:textId="77777777" w:rsidR="00F94554" w:rsidRDefault="00F94554" w:rsidP="00F94554">
      <w:r>
        <w:t xml:space="preserve">Il est demandé au Président près le Tribunal judiciaire de </w:t>
      </w:r>
      <w:r w:rsidRPr="007B57FF">
        <w:rPr>
          <w:i/>
        </w:rPr>
        <w:t>[ville]</w:t>
      </w:r>
      <w:r>
        <w:t xml:space="preserve"> de :</w:t>
      </w:r>
    </w:p>
    <w:p w14:paraId="46C36749" w14:textId="77777777" w:rsidR="00F94554" w:rsidRDefault="00F94554" w:rsidP="00F94554"/>
    <w:p w14:paraId="515E2B8B" w14:textId="77777777" w:rsidR="00F94554" w:rsidRDefault="00F94554" w:rsidP="00F94554">
      <w:r>
        <w:t>Déclarant</w:t>
      </w:r>
      <w:r w:rsidRPr="00092898">
        <w:t xml:space="preserve"> la demande de </w:t>
      </w:r>
      <w:r w:rsidRPr="00092898">
        <w:rPr>
          <w:i/>
        </w:rPr>
        <w:t>[Nom du demandeur]</w:t>
      </w:r>
      <w:r>
        <w:t xml:space="preserve"> recevable et bien fondée,</w:t>
      </w:r>
    </w:p>
    <w:p w14:paraId="24B94D0A" w14:textId="77777777" w:rsidR="00F94554" w:rsidRDefault="00F94554" w:rsidP="00F94554">
      <w:pPr>
        <w:rPr>
          <w:rFonts w:eastAsia="Calibri"/>
          <w:b/>
          <w:szCs w:val="22"/>
          <w:u w:val="single"/>
          <w:lang w:eastAsia="en-US"/>
        </w:rPr>
      </w:pPr>
    </w:p>
    <w:p w14:paraId="73CD2E6E" w14:textId="77777777" w:rsidR="00F94554" w:rsidRDefault="00F94554" w:rsidP="00F94554">
      <w:pPr>
        <w:rPr>
          <w:rFonts w:eastAsia="Calibri"/>
          <w:b/>
          <w:szCs w:val="22"/>
          <w:u w:val="single"/>
          <w:lang w:eastAsia="en-US"/>
        </w:rPr>
      </w:pPr>
    </w:p>
    <w:p w14:paraId="217B1BD6" w14:textId="77777777" w:rsidR="00F94554" w:rsidRDefault="00F94554" w:rsidP="00F94554">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0AE7AD8C" w14:textId="77777777" w:rsidR="00F94554" w:rsidRDefault="00F94554" w:rsidP="00F94554"/>
    <w:p w14:paraId="74F98E4D" w14:textId="77777777" w:rsidR="00F94554" w:rsidRDefault="00F94554" w:rsidP="00F94554">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24D513E4" w14:textId="77777777" w:rsidR="00F94554" w:rsidRDefault="00F94554" w:rsidP="00F94554"/>
    <w:p w14:paraId="1D68C54E" w14:textId="77777777" w:rsidR="00F94554" w:rsidRDefault="00F94554" w:rsidP="00F94554">
      <w:r>
        <w:t>En conséquence,</w:t>
      </w:r>
    </w:p>
    <w:p w14:paraId="57661302" w14:textId="77777777" w:rsidR="00F94554" w:rsidRDefault="00F94554" w:rsidP="00F94554"/>
    <w:p w14:paraId="01F40D1F" w14:textId="77777777" w:rsidR="00F94554" w:rsidRDefault="00F94554" w:rsidP="00F94554">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0AA80621" w14:textId="77777777" w:rsidR="00F94554" w:rsidRDefault="00F94554" w:rsidP="00F94554"/>
    <w:p w14:paraId="6AFFC561" w14:textId="77777777" w:rsidR="00F94554" w:rsidRDefault="00F94554" w:rsidP="00F94554">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7143FD35" w14:textId="77777777" w:rsidR="00F94554" w:rsidRDefault="00F94554" w:rsidP="00F94554"/>
    <w:p w14:paraId="5855C939" w14:textId="77777777" w:rsidR="00F94554" w:rsidRDefault="00F94554" w:rsidP="00F94554">
      <w:pPr>
        <w:pStyle w:val="Paragraphedeliste"/>
        <w:numPr>
          <w:ilvl w:val="0"/>
          <w:numId w:val="5"/>
        </w:numPr>
      </w:pPr>
      <w:r w:rsidRPr="0039097E">
        <w:rPr>
          <w:b/>
        </w:rPr>
        <w:t>ORDONNER</w:t>
      </w:r>
      <w:r>
        <w:t>, vu l’urgence, l’exécution provisoire de l’ordonnance sur minute</w:t>
      </w:r>
    </w:p>
    <w:p w14:paraId="1F7FAE0A" w14:textId="07D0A160" w:rsidR="00FA043F" w:rsidRDefault="00FA043F" w:rsidP="00FA043F"/>
    <w:p w14:paraId="69CB9B4A" w14:textId="431167A9" w:rsidR="00F94554" w:rsidRDefault="00F94554" w:rsidP="00FA043F"/>
    <w:p w14:paraId="0DC288F4" w14:textId="7B0CA1D9" w:rsidR="00F94554" w:rsidRDefault="00F94554" w:rsidP="00FA043F"/>
    <w:p w14:paraId="2EA9FE4A" w14:textId="77777777" w:rsidR="00F94554" w:rsidRDefault="00F94554"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E6BA" w14:textId="77777777" w:rsidR="00CF29BA" w:rsidRDefault="00CF29BA">
      <w:r>
        <w:separator/>
      </w:r>
    </w:p>
  </w:endnote>
  <w:endnote w:type="continuationSeparator" w:id="0">
    <w:p w14:paraId="194E93F6" w14:textId="77777777" w:rsidR="00CF29BA" w:rsidRDefault="00CF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F6AEF" w14:textId="77777777" w:rsidR="00CF29BA" w:rsidRDefault="00CF29BA">
      <w:r>
        <w:separator/>
      </w:r>
    </w:p>
  </w:footnote>
  <w:footnote w:type="continuationSeparator" w:id="0">
    <w:p w14:paraId="46559342" w14:textId="77777777" w:rsidR="00CF29BA" w:rsidRDefault="00CF2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7193412">
    <w:abstractNumId w:val="0"/>
  </w:num>
  <w:num w:numId="2" w16cid:durableId="1736852680">
    <w:abstractNumId w:val="18"/>
  </w:num>
  <w:num w:numId="3" w16cid:durableId="1957524780">
    <w:abstractNumId w:val="5"/>
  </w:num>
  <w:num w:numId="4" w16cid:durableId="532771013">
    <w:abstractNumId w:val="13"/>
  </w:num>
  <w:num w:numId="5" w16cid:durableId="1494446653">
    <w:abstractNumId w:val="3"/>
  </w:num>
  <w:num w:numId="6" w16cid:durableId="31004316">
    <w:abstractNumId w:val="10"/>
  </w:num>
  <w:num w:numId="7" w16cid:durableId="1752266386">
    <w:abstractNumId w:val="19"/>
  </w:num>
  <w:num w:numId="8" w16cid:durableId="1047799113">
    <w:abstractNumId w:val="7"/>
  </w:num>
  <w:num w:numId="9" w16cid:durableId="1814904384">
    <w:abstractNumId w:val="16"/>
  </w:num>
  <w:num w:numId="10" w16cid:durableId="1146316697">
    <w:abstractNumId w:val="17"/>
  </w:num>
  <w:num w:numId="11" w16cid:durableId="21250234">
    <w:abstractNumId w:val="6"/>
  </w:num>
  <w:num w:numId="12" w16cid:durableId="1792284643">
    <w:abstractNumId w:val="8"/>
  </w:num>
  <w:num w:numId="13" w16cid:durableId="410859798">
    <w:abstractNumId w:val="15"/>
  </w:num>
  <w:num w:numId="14" w16cid:durableId="1673993532">
    <w:abstractNumId w:val="12"/>
  </w:num>
  <w:num w:numId="15" w16cid:durableId="930427526">
    <w:abstractNumId w:val="9"/>
  </w:num>
  <w:num w:numId="16" w16cid:durableId="1934783353">
    <w:abstractNumId w:val="11"/>
  </w:num>
  <w:num w:numId="17" w16cid:durableId="1566531177">
    <w:abstractNumId w:val="14"/>
  </w:num>
  <w:num w:numId="18" w16cid:durableId="1469973643">
    <w:abstractNumId w:val="2"/>
  </w:num>
  <w:num w:numId="19" w16cid:durableId="812213429">
    <w:abstractNumId w:val="4"/>
  </w:num>
  <w:num w:numId="20" w16cid:durableId="1554654727">
    <w:abstractNumId w:val="1"/>
  </w:num>
  <w:num w:numId="21" w16cid:durableId="476726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3551F"/>
    <w:rsid w:val="00045753"/>
    <w:rsid w:val="00067AD4"/>
    <w:rsid w:val="000727AC"/>
    <w:rsid w:val="00072E55"/>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0F6BC0"/>
    <w:rsid w:val="001012B5"/>
    <w:rsid w:val="00104ED1"/>
    <w:rsid w:val="001067AA"/>
    <w:rsid w:val="001174B9"/>
    <w:rsid w:val="00123F63"/>
    <w:rsid w:val="00124AD5"/>
    <w:rsid w:val="00124D95"/>
    <w:rsid w:val="001361CD"/>
    <w:rsid w:val="00151E24"/>
    <w:rsid w:val="00173143"/>
    <w:rsid w:val="001A2085"/>
    <w:rsid w:val="001B6B80"/>
    <w:rsid w:val="001C14D2"/>
    <w:rsid w:val="001C61C7"/>
    <w:rsid w:val="001D3C22"/>
    <w:rsid w:val="001D4A9A"/>
    <w:rsid w:val="001D5BDC"/>
    <w:rsid w:val="001E1B19"/>
    <w:rsid w:val="001E38D5"/>
    <w:rsid w:val="001F05CF"/>
    <w:rsid w:val="001F0AC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5068"/>
    <w:rsid w:val="0044570C"/>
    <w:rsid w:val="00446E13"/>
    <w:rsid w:val="00453ADA"/>
    <w:rsid w:val="00463B00"/>
    <w:rsid w:val="00470DF8"/>
    <w:rsid w:val="004731E2"/>
    <w:rsid w:val="00474E2E"/>
    <w:rsid w:val="00483563"/>
    <w:rsid w:val="00486976"/>
    <w:rsid w:val="004940FA"/>
    <w:rsid w:val="00494930"/>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0C43"/>
    <w:rsid w:val="005C2D96"/>
    <w:rsid w:val="005D0DC7"/>
    <w:rsid w:val="005F2EBE"/>
    <w:rsid w:val="005F7BD6"/>
    <w:rsid w:val="00605973"/>
    <w:rsid w:val="0061351C"/>
    <w:rsid w:val="0061372E"/>
    <w:rsid w:val="00622423"/>
    <w:rsid w:val="00625D73"/>
    <w:rsid w:val="00640990"/>
    <w:rsid w:val="00652AA9"/>
    <w:rsid w:val="00655758"/>
    <w:rsid w:val="0069386E"/>
    <w:rsid w:val="006A48B3"/>
    <w:rsid w:val="006C062F"/>
    <w:rsid w:val="006C236C"/>
    <w:rsid w:val="006C5F22"/>
    <w:rsid w:val="006C6D60"/>
    <w:rsid w:val="006D0D26"/>
    <w:rsid w:val="006D33DF"/>
    <w:rsid w:val="006D35AD"/>
    <w:rsid w:val="006E2D3D"/>
    <w:rsid w:val="006E7DA5"/>
    <w:rsid w:val="006F50F4"/>
    <w:rsid w:val="006F6928"/>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5DBE"/>
    <w:rsid w:val="009D6A04"/>
    <w:rsid w:val="009E2C2E"/>
    <w:rsid w:val="009E58FA"/>
    <w:rsid w:val="009E5E34"/>
    <w:rsid w:val="009F65C1"/>
    <w:rsid w:val="009F670D"/>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57C2"/>
    <w:rsid w:val="00AF0331"/>
    <w:rsid w:val="00B2262C"/>
    <w:rsid w:val="00B2317E"/>
    <w:rsid w:val="00B35DB8"/>
    <w:rsid w:val="00B41F6B"/>
    <w:rsid w:val="00B47222"/>
    <w:rsid w:val="00B51103"/>
    <w:rsid w:val="00B54863"/>
    <w:rsid w:val="00B603B8"/>
    <w:rsid w:val="00B6204F"/>
    <w:rsid w:val="00B62DF9"/>
    <w:rsid w:val="00B81816"/>
    <w:rsid w:val="00B82DA4"/>
    <w:rsid w:val="00B8687C"/>
    <w:rsid w:val="00B933AD"/>
    <w:rsid w:val="00BA5C35"/>
    <w:rsid w:val="00BA7BEF"/>
    <w:rsid w:val="00BC5C34"/>
    <w:rsid w:val="00BD6ADE"/>
    <w:rsid w:val="00BE7B86"/>
    <w:rsid w:val="00BF3042"/>
    <w:rsid w:val="00BF712B"/>
    <w:rsid w:val="00BF7A2D"/>
    <w:rsid w:val="00C07F48"/>
    <w:rsid w:val="00C102F9"/>
    <w:rsid w:val="00C16A24"/>
    <w:rsid w:val="00C22BB8"/>
    <w:rsid w:val="00C25D0C"/>
    <w:rsid w:val="00C26FFC"/>
    <w:rsid w:val="00C354EA"/>
    <w:rsid w:val="00C35FDB"/>
    <w:rsid w:val="00C3657C"/>
    <w:rsid w:val="00C41E63"/>
    <w:rsid w:val="00C44031"/>
    <w:rsid w:val="00C4659E"/>
    <w:rsid w:val="00C47D8D"/>
    <w:rsid w:val="00C514BE"/>
    <w:rsid w:val="00C57B40"/>
    <w:rsid w:val="00C61E66"/>
    <w:rsid w:val="00C640F3"/>
    <w:rsid w:val="00C64466"/>
    <w:rsid w:val="00C66F66"/>
    <w:rsid w:val="00C673DA"/>
    <w:rsid w:val="00C92F34"/>
    <w:rsid w:val="00C94D6C"/>
    <w:rsid w:val="00CA36A7"/>
    <w:rsid w:val="00CB1D1E"/>
    <w:rsid w:val="00CB2D98"/>
    <w:rsid w:val="00CB4015"/>
    <w:rsid w:val="00CB4269"/>
    <w:rsid w:val="00CC4D5C"/>
    <w:rsid w:val="00CD4CD1"/>
    <w:rsid w:val="00CD5492"/>
    <w:rsid w:val="00CE0EEA"/>
    <w:rsid w:val="00CF29B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32F"/>
    <w:rsid w:val="00DA3532"/>
    <w:rsid w:val="00DB05D9"/>
    <w:rsid w:val="00DB413A"/>
    <w:rsid w:val="00DE7397"/>
    <w:rsid w:val="00DF3F74"/>
    <w:rsid w:val="00DF562E"/>
    <w:rsid w:val="00E02978"/>
    <w:rsid w:val="00E32D33"/>
    <w:rsid w:val="00E36832"/>
    <w:rsid w:val="00E52906"/>
    <w:rsid w:val="00E54C5D"/>
    <w:rsid w:val="00E56E19"/>
    <w:rsid w:val="00E6348E"/>
    <w:rsid w:val="00E654A2"/>
    <w:rsid w:val="00E66288"/>
    <w:rsid w:val="00EA7E30"/>
    <w:rsid w:val="00EB079A"/>
    <w:rsid w:val="00EC063C"/>
    <w:rsid w:val="00EC70EF"/>
    <w:rsid w:val="00ED04D2"/>
    <w:rsid w:val="00ED1CCB"/>
    <w:rsid w:val="00ED2E85"/>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4554"/>
    <w:rsid w:val="00F9696D"/>
    <w:rsid w:val="00F96B56"/>
    <w:rsid w:val="00FA00D9"/>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403524118">
      <w:bodyDiv w:val="1"/>
      <w:marLeft w:val="0"/>
      <w:marRight w:val="0"/>
      <w:marTop w:val="0"/>
      <w:marBottom w:val="0"/>
      <w:divBdr>
        <w:top w:val="none" w:sz="0" w:space="0" w:color="auto"/>
        <w:left w:val="none" w:sz="0" w:space="0" w:color="auto"/>
        <w:bottom w:val="none" w:sz="0" w:space="0" w:color="auto"/>
        <w:right w:val="none" w:sz="0" w:space="0" w:color="auto"/>
      </w:divBdr>
    </w:div>
    <w:div w:id="166804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3A6C-FFC0-49C0-8496-D0CBC4A8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2392</Words>
  <Characters>12518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3</cp:revision>
  <cp:lastPrinted>2018-05-24T19:57:00Z</cp:lastPrinted>
  <dcterms:created xsi:type="dcterms:W3CDTF">2024-03-14T19:36:00Z</dcterms:created>
  <dcterms:modified xsi:type="dcterms:W3CDTF">2024-03-16T14:26:00Z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