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adresse]</w:t>
      </w:r>
    </w:p>
    <w:p>
      <w:pPr>
        <w:pBdr>
          <w:bottom w:val="single" w:sz="6" w:space="4" w:color="C9A227"/>
        </w:pBdr>
        <w:spacing w:before="280"/>
      </w:pPr>
      <w:r>
        <w:rPr>
          <w:b/>
          <w:color w:val="1A365D"/>
          <w:sz w:val="28"/>
        </w:rPr>
        <w:t>BORDEREAU DE PIÈCES ET CHRONOLOGIE</w:t>
      </w:r>
    </w:p>
    <w:p>
      <w:pPr>
        <w:spacing w:after="0" w:line="252" w:lineRule="auto"/>
        <w:ind w:left="5102"/>
      </w:pPr>
      <w:r>
        <w:rPr>
          <w:b w:val="0"/>
          <w:i w:val="0"/>
        </w:rPr>
        <w:t xml:space="preserve">Affaire : </w:t>
      </w:r>
      <w:r>
        <w:rPr>
          <w:b w:val="0"/>
          <w:i w:val="0"/>
          <w:color w:val="1A365D"/>
          <w:shd w:val="clear" w:color="auto" w:fill="FBF8EE"/>
        </w:rPr>
        <w:t>[objet du litige]</w:t>
      </w:r>
    </w:p>
    <w:p>
      <w:pPr>
        <w:spacing w:before="320" w:after="440"/>
        <w:ind w:left="5102"/>
      </w:pPr>
      <w:r>
        <w:rPr>
          <w:b w:val="0"/>
          <w:i w:val="0"/>
          <w:color w:val="1A365D"/>
          <w:shd w:val="clear" w:color="auto" w:fill="FBF8EE"/>
        </w:rPr>
        <w:t>[Votre ville]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I. CHRONOLOGIE DU LITIGE</w:t>
      </w:r>
    </w:p>
    <w:p>
      <w:pPr>
        <w:jc w:val="both"/>
      </w:pPr>
      <w:r>
        <w:t>Les dates ci-dessous sont celles que vous avez renseignées. Vérifiez-les sur vos justificatifs avant de communiquer ce document : c'est la chronologie, plus que l'argumentation, qui emporte la conviction du juge, du médiateur et de l'assureur.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[date de l'étape]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[ce qui s'est passé]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II. BORDEREAU DES PIÈCES</w:t>
      </w:r>
    </w:p>
    <w:p>
      <w:pPr>
        <w:jc w:val="both"/>
      </w:pPr>
      <w:r>
        <w:t>Ce bordereau n'est pas une commodité : l'article 56, 3° du code de procédure civile exige que la liste des pièces sur lesquelles la demande est fondée figure dans un bordereau annexé à l'assignation, et l'article 768 du même code impose qu'un bordereau énumérant les pièces justifiant les prétentions soit annexé aux conclusions. Numérotez vos pièces dans cet ordre et n'en changez plus : c'est par ce numéro qu'on les désignera jusqu'au jugement.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[n° de la pièce]</w:t>
      </w:r>
      <w:r>
        <w:rPr>
          <w:b w:val="0"/>
          <w:i w:val="0"/>
        </w:rPr>
        <w:t xml:space="preserve">. </w:t>
      </w:r>
      <w:r>
        <w:rPr>
          <w:b w:val="0"/>
          <w:i w:val="0"/>
          <w:color w:val="1A365D"/>
          <w:shd w:val="clear" w:color="auto" w:fill="FBF8EE"/>
        </w:rPr>
        <w:t>[intitulé de la pièce]</w:t>
      </w:r>
    </w:p>
    <w:p>
      <w:pPr>
        <w:jc w:val="both"/>
      </w:pPr>
      <w:r>
        <w:t>Les pièces entre crochets ne s'imposent que si elles existent dans votre dossier. Retirez de la liste celles que vous n'avez pas, et renumérotez.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III. COMMENT S'EN SERVIR</w:t>
      </w:r>
    </w:p>
    <w:p>
      <w:pPr>
        <w:jc w:val="both"/>
      </w:pPr>
      <w:r>
        <w:t>Communiquez ce bordereau avec la copie de chaque pièce, dans l'ordre et sous son numéro. Conservez la preuve de cette communication : un envoi recommandé, un courriel avec accusé de réception, ou le récépissé du greffe.</w:t>
      </w:r>
    </w:p>
    <w:p>
      <w:pPr>
        <w:jc w:val="both"/>
      </w:pPr>
      <w:r>
        <w:t>Devant le juge, une pièce qui n'a pas été communiquée à l'adversaire est écartée des débats. Devant un assureur de protection juridique ou un avocat que vous consultez, ce document est le premier qu'on vous demandera.</w:t>
      </w:r>
    </w:p>
    <w:p>
      <w:pPr>
        <w:spacing w:before="320"/>
        <w:jc w:val="right"/>
      </w:pPr>
      <w:r>
        <w:rPr>
          <w:color w:val="6C757D"/>
          <w:sz w:val="18"/>
        </w:rPr>
        <w:t>[Signature]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