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4" w:space="4" w:color="EADFC0"/>
        </w:pBdr>
        <w:spacing w:before="240"/>
      </w:pPr>
      <w:r>
        <w:rPr>
          <w:b/>
          <w:color w:val="1A365D"/>
          <w:sz w:val="22"/>
        </w:rPr>
        <w:t>PROTOCOLE D'ACCORD TRANSACTIONNEL</w:t>
      </w:r>
    </w:p>
    <w:p>
      <w:pPr>
        <w:jc w:val="both"/>
      </w:pPr>
      <w:r>
        <w:t>(Articles 2044 et suivants du Code civil)</w:t>
      </w:r>
    </w:p>
    <w:p>
      <w:pPr>
        <w:pBdr>
          <w:bottom w:val="single" w:sz="4" w:space="4" w:color="EADFC0"/>
        </w:pBdr>
        <w:spacing w:before="240"/>
      </w:pPr>
      <w:r>
        <w:rPr>
          <w:b/>
          <w:color w:val="1A365D"/>
          <w:sz w:val="22"/>
        </w:rPr>
        <w:t>ENTRE LES SOUSSIGNÉS</w:t>
      </w:r>
    </w:p>
    <w:p>
      <w:pPr>
        <w:jc w:val="both"/>
      </w:pPr>
      <w:r>
        <w:rPr>
          <w:b w:val="0"/>
          <w:i w:val="0"/>
        </w:rPr>
        <w:t xml:space="preserve">La société </w:t>
      </w:r>
      <w:r>
        <w:rPr>
          <w:b w:val="0"/>
          <w:i w:val="0"/>
          <w:color w:val="1A365D"/>
          <w:shd w:val="clear" w:color="auto" w:fill="FBF8EE"/>
        </w:rPr>
        <w:t>[raison sociale]</w:t>
      </w:r>
      <w:r>
        <w:rPr>
          <w:b w:val="0"/>
          <w:i w:val="0"/>
        </w:rPr>
        <w:t xml:space="preserve">, </w:t>
      </w:r>
      <w:r>
        <w:rPr>
          <w:b w:val="0"/>
          <w:i w:val="0"/>
          <w:color w:val="1A365D"/>
          <w:shd w:val="clear" w:color="auto" w:fill="FBF8EE"/>
        </w:rPr>
        <w:t>[forme sociale]</w:t>
      </w:r>
      <w:r>
        <w:rPr>
          <w:b w:val="0"/>
          <w:i w:val="0"/>
        </w:rPr>
        <w:t xml:space="preserve">, au capital de </w:t>
      </w:r>
      <w:r>
        <w:rPr>
          <w:b w:val="0"/>
          <w:i w:val="0"/>
          <w:color w:val="1A365D"/>
          <w:shd w:val="clear" w:color="auto" w:fill="FBF8EE"/>
        </w:rPr>
        <w:t>[capital social]</w:t>
      </w:r>
      <w:r>
        <w:rPr>
          <w:b w:val="0"/>
          <w:i w:val="0"/>
        </w:rPr>
        <w:t xml:space="preserve"> euros, immatriculée au Registre du commerce et des sociétés de </w:t>
      </w:r>
      <w:r>
        <w:rPr>
          <w:b w:val="0"/>
          <w:i w:val="0"/>
          <w:color w:val="1A365D"/>
          <w:shd w:val="clear" w:color="auto" w:fill="FBF8EE"/>
        </w:rPr>
        <w:t>[ville du greffe du registre]</w:t>
      </w:r>
      <w:r>
        <w:rPr>
          <w:b w:val="0"/>
          <w:i w:val="0"/>
        </w:rPr>
        <w:t xml:space="preserve"> sous le numéro </w:t>
      </w:r>
      <w:r>
        <w:rPr>
          <w:b w:val="0"/>
          <w:i w:val="0"/>
          <w:color w:val="1A365D"/>
          <w:shd w:val="clear" w:color="auto" w:fill="FBF8EE"/>
        </w:rPr>
        <w:t>[SIREN]</w:t>
      </w:r>
      <w:r>
        <w:rPr>
          <w:b w:val="0"/>
          <w:i w:val="0"/>
        </w:rPr>
        <w:t xml:space="preserve">, dont le siège est </w:t>
      </w:r>
      <w:r>
        <w:rPr>
          <w:b w:val="0"/>
          <w:i w:val="0"/>
          <w:color w:val="1A365D"/>
          <w:shd w:val="clear" w:color="auto" w:fill="FBF8EE"/>
        </w:rPr>
        <w:t>[adresse du siège]</w:t>
      </w:r>
      <w:r>
        <w:rPr>
          <w:b w:val="0"/>
          <w:i w:val="0"/>
        </w:rPr>
        <w:t xml:space="preserve">, représentée par </w:t>
      </w:r>
      <w:r>
        <w:rPr>
          <w:b w:val="0"/>
          <w:i w:val="0"/>
          <w:color w:val="1A365D"/>
          <w:shd w:val="clear" w:color="auto" w:fill="FBF8EE"/>
        </w:rPr>
        <w:t>[nom, qualité]</w:t>
      </w:r>
      <w:r>
        <w:rPr>
          <w:b w:val="0"/>
          <w:i w:val="0"/>
        </w:rPr>
        <w:t>, dûment habilité(e),</w:t>
      </w:r>
    </w:p>
    <w:p>
      <w:pPr>
        <w:jc w:val="both"/>
      </w:pPr>
      <w:r>
        <w:t>Ci-après dénommé(e) « LE VENDEUR »,</w:t>
      </w:r>
    </w:p>
    <w:p>
      <w:pPr>
        <w:jc w:val="both"/>
      </w:pPr>
      <w:r>
        <w:t>D'une part,</w:t>
      </w:r>
    </w:p>
    <w:p>
      <w:pPr>
        <w:jc w:val="both"/>
      </w:pPr>
      <w:r>
        <w:t>ET</w:t>
      </w:r>
    </w:p>
    <w:p>
      <w:pPr>
        <w:jc w:val="both"/>
      </w:pPr>
      <w:r>
        <w:rPr>
          <w:b w:val="0"/>
          <w:i w:val="0"/>
        </w:rPr>
        <w:t xml:space="preserve">Monsieur ou Madame </w:t>
      </w:r>
      <w:r>
        <w:rPr>
          <w:b w:val="0"/>
          <w:i w:val="0"/>
          <w:color w:val="1A365D"/>
          <w:shd w:val="clear" w:color="auto" w:fill="FBF8EE"/>
        </w:rPr>
        <w:t>[nom, prénom]</w:t>
      </w:r>
      <w:r>
        <w:rPr>
          <w:b w:val="0"/>
          <w:i w:val="0"/>
        </w:rPr>
        <w:t xml:space="preserve">, né(e) le </w:t>
      </w:r>
      <w:r>
        <w:rPr>
          <w:b w:val="0"/>
          <w:i w:val="0"/>
          <w:color w:val="1A365D"/>
          <w:shd w:val="clear" w:color="auto" w:fill="FBF8EE"/>
        </w:rPr>
        <w:t>[date de naissance]</w:t>
      </w:r>
      <w:r>
        <w:rPr>
          <w:b w:val="0"/>
          <w:i w:val="0"/>
        </w:rPr>
        <w:t xml:space="preserve"> à </w:t>
      </w:r>
      <w:r>
        <w:rPr>
          <w:b w:val="0"/>
          <w:i w:val="0"/>
          <w:color w:val="1A365D"/>
          <w:shd w:val="clear" w:color="auto" w:fill="FBF8EE"/>
        </w:rPr>
        <w:t>[ville de naissance]</w:t>
      </w:r>
      <w:r>
        <w:rPr>
          <w:b w:val="0"/>
          <w:i w:val="0"/>
        </w:rPr>
        <w:t xml:space="preserve">, de nationalité </w:t>
      </w:r>
      <w:r>
        <w:rPr>
          <w:b w:val="0"/>
          <w:i w:val="0"/>
          <w:color w:val="1A365D"/>
          <w:shd w:val="clear" w:color="auto" w:fill="FBF8EE"/>
        </w:rPr>
        <w:t>[pays]</w:t>
      </w:r>
      <w:r>
        <w:rPr>
          <w:b w:val="0"/>
          <w:i w:val="0"/>
        </w:rPr>
        <w:t xml:space="preserve">, de profession </w:t>
      </w:r>
      <w:r>
        <w:rPr>
          <w:b w:val="0"/>
          <w:i w:val="0"/>
          <w:color w:val="1A365D"/>
          <w:shd w:val="clear" w:color="auto" w:fill="FBF8EE"/>
        </w:rPr>
        <w:t>[profession]</w:t>
      </w:r>
      <w:r>
        <w:rPr>
          <w:b w:val="0"/>
          <w:i w:val="0"/>
        </w:rPr>
        <w:t xml:space="preserve">, demeurant </w:t>
      </w:r>
      <w:r>
        <w:rPr>
          <w:b w:val="0"/>
          <w:i w:val="0"/>
          <w:color w:val="1A365D"/>
          <w:shd w:val="clear" w:color="auto" w:fill="FBF8EE"/>
        </w:rPr>
        <w:t>[adresse de l'acquéreur]</w:t>
      </w:r>
      <w:r>
        <w:rPr>
          <w:b w:val="0"/>
          <w:i w:val="0"/>
        </w:rPr>
        <w:t>,</w:t>
      </w:r>
    </w:p>
    <w:p>
      <w:pPr>
        <w:jc w:val="both"/>
      </w:pPr>
      <w:r>
        <w:t>Ci-après dénommé(e) « L'ACQUÉREUR »,</w:t>
      </w:r>
    </w:p>
    <w:p>
      <w:pPr>
        <w:jc w:val="both"/>
      </w:pPr>
      <w:r>
        <w:t>D'autre part,</w:t>
      </w:r>
    </w:p>
    <w:p>
      <w:pPr>
        <w:jc w:val="both"/>
      </w:pPr>
      <w:r>
        <w:t>Ci-après désignés individuellement « la Partie » et collectivement « les Parties ».</w:t>
      </w:r>
    </w:p>
    <w:p>
      <w:pPr>
        <w:pBdr>
          <w:bottom w:val="single" w:sz="4" w:space="4" w:color="EADFC0"/>
        </w:pBdr>
        <w:spacing w:before="240"/>
      </w:pPr>
      <w:r>
        <w:rPr>
          <w:b/>
          <w:color w:val="1A365D"/>
          <w:sz w:val="22"/>
        </w:rPr>
        <w:t>PRÉAMBULE</w:t>
      </w:r>
    </w:p>
    <w:p>
      <w:pPr>
        <w:jc w:val="both"/>
      </w:pPr>
      <w:r>
        <w:t>Il a été préalablement exposé ce qui suit :</w:t>
      </w:r>
    </w:p>
    <w:p>
      <w:pPr>
        <w:jc w:val="both"/>
      </w:pPr>
      <w:r>
        <w:rPr>
          <w:b w:val="0"/>
          <w:i w:val="0"/>
        </w:rPr>
        <w:t xml:space="preserve">Suivant </w:t>
      </w:r>
      <w:r>
        <w:rPr>
          <w:b w:val="0"/>
          <w:i w:val="0"/>
          <w:color w:val="1A365D"/>
          <w:shd w:val="clear" w:color="auto" w:fill="FBF8EE"/>
        </w:rPr>
        <w:t>[bon de commande / facture]</w:t>
      </w:r>
      <w:r>
        <w:rPr>
          <w:b w:val="0"/>
          <w:i w:val="0"/>
        </w:rPr>
        <w:t xml:space="preserve"> du </w:t>
      </w:r>
      <w:r>
        <w:rPr>
          <w:b w:val="0"/>
          <w:i w:val="0"/>
          <w:color w:val="1A365D"/>
          <w:shd w:val="clear" w:color="auto" w:fill="FBF8EE"/>
        </w:rPr>
        <w:t>[date d'achat]</w:t>
      </w:r>
      <w:r>
        <w:rPr>
          <w:b w:val="0"/>
          <w:i w:val="0"/>
        </w:rPr>
        <w:t xml:space="preserve">, L'ACQUÉREUR a acquis auprès du VENDEUR le véhicule </w:t>
      </w:r>
      <w:r>
        <w:rPr>
          <w:b w:val="0"/>
          <w:i w:val="0"/>
          <w:color w:val="1A365D"/>
          <w:shd w:val="clear" w:color="auto" w:fill="FBF8EE"/>
        </w:rPr>
        <w:t>[marque, modèle]</w:t>
      </w:r>
      <w:r>
        <w:rPr>
          <w:b w:val="0"/>
          <w:i w:val="0"/>
        </w:rPr>
        <w:t xml:space="preserve">, immatriculé </w:t>
      </w:r>
      <w:r>
        <w:rPr>
          <w:b w:val="0"/>
          <w:i w:val="0"/>
          <w:color w:val="1A365D"/>
          <w:shd w:val="clear" w:color="auto" w:fill="FBF8EE"/>
        </w:rPr>
        <w:t>[numéro]</w:t>
      </w:r>
      <w:r>
        <w:rPr>
          <w:b w:val="0"/>
          <w:i w:val="0"/>
        </w:rPr>
        <w:t xml:space="preserve">, portant au compteur </w:t>
      </w:r>
      <w:r>
        <w:rPr>
          <w:b w:val="0"/>
          <w:i w:val="0"/>
          <w:color w:val="1A365D"/>
          <w:shd w:val="clear" w:color="auto" w:fill="FBF8EE"/>
        </w:rPr>
        <w:t>[kilométrage]</w:t>
      </w:r>
      <w:r>
        <w:rPr>
          <w:b w:val="0"/>
          <w:i w:val="0"/>
        </w:rPr>
        <w:t xml:space="preserve"> kilomètres, moyennant le prix de </w:t>
      </w:r>
      <w:r>
        <w:rPr>
          <w:b w:val="0"/>
          <w:i w:val="0"/>
          <w:color w:val="1A365D"/>
          <w:shd w:val="clear" w:color="auto" w:fill="FBF8EE"/>
        </w:rPr>
        <w:t>[prix convenu]</w:t>
      </w:r>
      <w:r>
        <w:rPr>
          <w:b w:val="0"/>
          <w:i w:val="0"/>
        </w:rPr>
        <w:t xml:space="preserve"> euros.</w:t>
      </w:r>
    </w:p>
    <w:p>
      <w:pPr>
        <w:jc w:val="both"/>
      </w:pPr>
      <w:r>
        <w:rPr>
          <w:b w:val="0"/>
          <w:i w:val="0"/>
        </w:rPr>
        <w:t xml:space="preserve">Le </w:t>
      </w:r>
      <w:r>
        <w:rPr>
          <w:b w:val="0"/>
          <w:i w:val="0"/>
          <w:color w:val="1A365D"/>
          <w:shd w:val="clear" w:color="auto" w:fill="FBF8EE"/>
        </w:rPr>
        <w:t>[date de découverte]</w:t>
      </w:r>
      <w:r>
        <w:rPr>
          <w:b w:val="0"/>
          <w:i w:val="0"/>
        </w:rPr>
        <w:t xml:space="preserve">, L'ACQUÉREUR a découvert </w:t>
      </w:r>
      <w:r>
        <w:rPr>
          <w:b w:val="0"/>
          <w:i w:val="0"/>
          <w:color w:val="1A365D"/>
          <w:shd w:val="clear" w:color="auto" w:fill="FBF8EE"/>
        </w:rPr>
        <w:t>[décrire le défaut : sa manifestation, et non sa cause]</w:t>
      </w:r>
      <w:r>
        <w:rPr>
          <w:b w:val="0"/>
          <w:i w:val="0"/>
        </w:rPr>
        <w:t>.</w:t>
      </w:r>
    </w:p>
    <w:p>
      <w:pPr>
        <w:jc w:val="both"/>
      </w:pPr>
      <w:r>
        <w:t>L'ACQUÉREUR soutient que ce défaut constitue un vice caché au sens de l'article 1641 du Code civil, en ce qu'il rend le véhicule impropre à son usage et qu'il était antérieur à la vente.</w:t>
      </w:r>
    </w:p>
    <w:p>
      <w:pPr>
        <w:jc w:val="both"/>
      </w:pPr>
      <w:r>
        <w:rPr>
          <w:b w:val="0"/>
          <w:i w:val="0"/>
        </w:rPr>
        <w:t xml:space="preserve">Le VENDEUR conteste </w:t>
      </w:r>
      <w:r>
        <w:rPr>
          <w:b w:val="0"/>
          <w:i w:val="0"/>
          <w:color w:val="1A365D"/>
          <w:shd w:val="clear" w:color="auto" w:fill="FBF8EE"/>
        </w:rPr>
        <w:t>[l'antériorité du défaut / son caractère caché / l'ampleur du préjudice allégué]</w:t>
      </w:r>
      <w:r>
        <w:rPr>
          <w:b w:val="0"/>
          <w:i w:val="0"/>
        </w:rPr>
        <w:t>.</w:t>
      </w:r>
    </w:p>
    <w:p>
      <w:pPr>
        <w:jc w:val="both"/>
      </w:pPr>
      <w:r>
        <w:rPr>
          <w:b w:val="0"/>
          <w:i w:val="0"/>
          <w:color w:val="1A365D"/>
          <w:shd w:val="clear" w:color="auto" w:fill="FBF8EE"/>
        </w:rPr>
        <w:t>[Le cas échéant :]</w:t>
      </w:r>
      <w:r>
        <w:rPr>
          <w:b w:val="0"/>
          <w:i w:val="0"/>
        </w:rPr>
        <w:t xml:space="preserve"> Un rapport </w:t>
      </w:r>
      <w:r>
        <w:rPr>
          <w:b w:val="0"/>
          <w:i w:val="0"/>
          <w:color w:val="1A365D"/>
          <w:shd w:val="clear" w:color="auto" w:fill="FBF8EE"/>
        </w:rPr>
        <w:t>[d'expertise amiable / d'expertise judiciaire]</w:t>
      </w:r>
      <w:r>
        <w:rPr>
          <w:b w:val="0"/>
          <w:i w:val="0"/>
        </w:rPr>
        <w:t xml:space="preserve"> a été établi le </w:t>
      </w:r>
      <w:r>
        <w:rPr>
          <w:b w:val="0"/>
          <w:i w:val="0"/>
          <w:color w:val="1A365D"/>
          <w:shd w:val="clear" w:color="auto" w:fill="FBF8EE"/>
        </w:rPr>
        <w:t>[date du document technique]</w:t>
      </w:r>
      <w:r>
        <w:rPr>
          <w:b w:val="0"/>
          <w:i w:val="0"/>
        </w:rPr>
        <w:t xml:space="preserve"> par </w:t>
      </w:r>
      <w:r>
        <w:rPr>
          <w:b w:val="0"/>
          <w:i w:val="0"/>
          <w:color w:val="1A365D"/>
          <w:shd w:val="clear" w:color="auto" w:fill="FBF8EE"/>
        </w:rPr>
        <w:t>[nom de l'expert]</w:t>
      </w:r>
      <w:r>
        <w:rPr>
          <w:b w:val="0"/>
          <w:i w:val="0"/>
        </w:rPr>
        <w:t xml:space="preserve">, concluant que </w:t>
      </w:r>
      <w:r>
        <w:rPr>
          <w:b w:val="0"/>
          <w:i w:val="0"/>
          <w:color w:val="1A365D"/>
          <w:shd w:val="clear" w:color="auto" w:fill="FBF8EE"/>
        </w:rPr>
        <w:t>[reprendre la conclusion]</w:t>
      </w:r>
      <w:r>
        <w:rPr>
          <w:b w:val="0"/>
          <w:i w:val="0"/>
        </w:rPr>
        <w:t>.</w:t>
      </w:r>
    </w:p>
    <w:p>
      <w:pPr>
        <w:jc w:val="both"/>
      </w:pPr>
      <w:r>
        <w:t>Les Parties se sont rapprochées afin de mettre un terme définitif à ce différend, sans reconnaissance de responsabilité de part ni d'autre, et moyennant des concessions réciproques.</w:t>
      </w:r>
    </w:p>
    <w:p>
      <w:pPr>
        <w:jc w:val="both"/>
      </w:pPr>
      <w:r>
        <w:t>Ceci exposé, il a été convenu ce qui suit.</w:t>
      </w:r>
    </w:p>
    <w:p>
      <w:pPr>
        <w:pBdr>
          <w:bottom w:val="single" w:sz="4" w:space="4" w:color="EADFC0"/>
        </w:pBdr>
        <w:spacing w:before="240"/>
      </w:pPr>
      <w:r>
        <w:rPr>
          <w:b/>
          <w:color w:val="1A365D"/>
          <w:sz w:val="22"/>
        </w:rPr>
        <w:t>ARTICLE 1 — OBJET</w:t>
      </w:r>
    </w:p>
    <w:p>
      <w:pPr>
        <w:jc w:val="both"/>
      </w:pPr>
      <w:r>
        <w:t>Le présent protocole a pour objet de mettre fin de manière définitive et irrévocable au différend décrit au préambule, ainsi qu'à toutes ses suites, connues ou inconnues, nées ou à naître, se rapportant aux mêmes faits.</w:t>
      </w:r>
    </w:p>
    <w:p>
      <w:pPr>
        <w:jc w:val="both"/>
      </w:pPr>
      <w:r>
        <w:t>Les Parties déclarent que les concessions énoncées à l'article 2 sont réciproques et déterminantes : sans elles, aucune d'elles n'aurait consenti au présent accord.</w:t>
      </w:r>
    </w:p>
    <w:p>
      <w:pPr>
        <w:pBdr>
          <w:bottom w:val="single" w:sz="4" w:space="4" w:color="EADFC0"/>
        </w:pBdr>
        <w:spacing w:before="240"/>
      </w:pPr>
      <w:r>
        <w:rPr>
          <w:b/>
          <w:color w:val="1A365D"/>
          <w:sz w:val="22"/>
        </w:rPr>
        <w:t>ARTICLE 2 — CONCESSIONS RÉCIPROQUES</w:t>
      </w:r>
    </w:p>
    <w:p>
      <w:pPr>
        <w:jc w:val="both"/>
      </w:pPr>
      <w:r>
        <w:rPr>
          <w:b w:val="0"/>
          <w:i w:val="0"/>
        </w:rPr>
        <w:t xml:space="preserve">De la part du VENDEUR : il s'engage à verser à L'ACQUÉREUR la somme forfaitaire, globale et définitive de </w:t>
      </w:r>
      <w:r>
        <w:rPr>
          <w:b w:val="0"/>
          <w:i w:val="0"/>
          <w:color w:val="1A365D"/>
          <w:shd w:val="clear" w:color="auto" w:fill="FBF8EE"/>
        </w:rPr>
        <w:t>[montant de la transaction]</w:t>
      </w:r>
      <w:r>
        <w:rPr>
          <w:b w:val="0"/>
          <w:i w:val="0"/>
        </w:rPr>
        <w:t xml:space="preserve"> euros, [et à prendre en charge la remise en état du véhicule dans son atelier, dans un délai de </w:t>
      </w:r>
      <w:r>
        <w:rPr>
          <w:b w:val="0"/>
          <w:i w:val="0"/>
          <w:color w:val="1A365D"/>
          <w:shd w:val="clear" w:color="auto" w:fill="FBF8EE"/>
        </w:rPr>
        <w:t>[nombre de jours pour la remise en état]</w:t>
      </w:r>
      <w:r>
        <w:rPr>
          <w:b w:val="0"/>
          <w:i w:val="0"/>
        </w:rPr>
        <w:t xml:space="preserve"> jours].</w:t>
      </w:r>
    </w:p>
    <w:p>
      <w:pPr>
        <w:jc w:val="both"/>
      </w:pPr>
      <w:r>
        <w:rPr>
          <w:b w:val="0"/>
          <w:i w:val="0"/>
        </w:rPr>
        <w:t xml:space="preserve">De la part de L'ACQUÉREUR : il renonce à toute action en garantie des vices cachés relative au défaut décrit au préambule, ainsi qu'à toute demande de résolution de la vente, de réduction du prix ou de dommages et intérêts au titre des articles 1641 à 1649 du Code civil, </w:t>
      </w:r>
      <w:r>
        <w:rPr>
          <w:b w:val="0"/>
          <w:i w:val="0"/>
          <w:color w:val="1A365D"/>
          <w:shd w:val="clear" w:color="auto" w:fill="FBF8EE"/>
        </w:rPr>
        <w:t>[et il conserve le véhicule en l'état]</w:t>
      </w:r>
      <w:r>
        <w:rPr>
          <w:b w:val="0"/>
          <w:i w:val="0"/>
        </w:rPr>
        <w:t>.</w:t>
      </w:r>
    </w:p>
    <w:p>
      <w:pPr>
        <w:jc w:val="both"/>
      </w:pPr>
      <w:r>
        <w:t>Les Parties conviennent que ces concessions sont réciproques et que chacune n'a consenti à la sienne qu'en considération de l'autre.</w:t>
      </w:r>
    </w:p>
    <w:p>
      <w:pPr>
        <w:pBdr>
          <w:bottom w:val="single" w:sz="4" w:space="4" w:color="EADFC0"/>
        </w:pBdr>
        <w:spacing w:before="240"/>
      </w:pPr>
      <w:r>
        <w:rPr>
          <w:b/>
          <w:color w:val="1A365D"/>
          <w:sz w:val="22"/>
        </w:rPr>
        <w:t>ARTICLE 3 — MODALITÉS D'EXÉCUTION</w:t>
      </w:r>
    </w:p>
    <w:p>
      <w:pPr>
        <w:jc w:val="both"/>
      </w:pPr>
      <w:r>
        <w:rPr>
          <w:b w:val="0"/>
          <w:i w:val="0"/>
        </w:rPr>
        <w:t xml:space="preserve">Le versement prévu à l'article 2 sera effectué dans un délai de </w:t>
      </w:r>
      <w:r>
        <w:rPr>
          <w:b w:val="0"/>
          <w:i w:val="0"/>
          <w:color w:val="1A365D"/>
          <w:shd w:val="clear" w:color="auto" w:fill="FBF8EE"/>
        </w:rPr>
        <w:t>[nombre de jours pour le versement]</w:t>
      </w:r>
      <w:r>
        <w:rPr>
          <w:b w:val="0"/>
          <w:i w:val="0"/>
        </w:rPr>
        <w:t xml:space="preserve"> jours à compter de la signature du présent protocole par la dernière des Parties, par virement au crédit du compte suivant :</w:t>
      </w:r>
    </w:p>
    <w:p>
      <w:pPr>
        <w:jc w:val="both"/>
      </w:pPr>
      <w:r>
        <w:rPr>
          <w:b w:val="0"/>
          <w:i w:val="0"/>
        </w:rPr>
        <w:t xml:space="preserve">Titulaire : </w:t>
      </w:r>
      <w:r>
        <w:rPr>
          <w:b w:val="0"/>
          <w:i w:val="0"/>
          <w:color w:val="1A365D"/>
          <w:shd w:val="clear" w:color="auto" w:fill="FBF8EE"/>
        </w:rPr>
        <w:t>[nom du titulaire]</w:t>
      </w:r>
    </w:p>
    <w:p>
      <w:pPr>
        <w:pBdr>
          <w:bottom w:val="single" w:sz="4" w:space="4" w:color="EADFC0"/>
        </w:pBdr>
        <w:spacing w:before="240"/>
      </w:pPr>
      <w:r>
        <w:rPr>
          <w:b/>
          <w:i w:val="0"/>
        </w:rPr>
        <w:t xml:space="preserve">IBAN : </w:t>
      </w:r>
      <w:r>
        <w:rPr>
          <w:b/>
          <w:i w:val="0"/>
          <w:color w:val="1A365D"/>
          <w:shd w:val="clear" w:color="auto" w:fill="FBF8EE"/>
        </w:rPr>
        <w:t>[IBAN]</w:t>
      </w:r>
    </w:p>
    <w:p>
      <w:pPr>
        <w:pBdr>
          <w:bottom w:val="single" w:sz="4" w:space="4" w:color="EADFC0"/>
        </w:pBdr>
        <w:spacing w:before="240"/>
      </w:pPr>
      <w:r>
        <w:rPr>
          <w:b/>
          <w:i w:val="0"/>
        </w:rPr>
        <w:t xml:space="preserve">BIC : </w:t>
      </w:r>
      <w:r>
        <w:rPr>
          <w:b/>
          <w:i w:val="0"/>
          <w:color w:val="1A365D"/>
          <w:shd w:val="clear" w:color="auto" w:fill="FBF8EE"/>
        </w:rPr>
        <w:t>[BIC]</w:t>
      </w:r>
    </w:p>
    <w:p>
      <w:pPr>
        <w:jc w:val="both"/>
      </w:pPr>
      <w:r>
        <w:rPr>
          <w:b w:val="0"/>
          <w:i w:val="0"/>
        </w:rPr>
        <w:t xml:space="preserve">À défaut de paiement à l'échéance convenue, les Parties conviennent de la présente clause résolutoire : la résolution du présent protocole interviendra huit jours après une mise en demeure demeurée infructueuse, à la condition que cette mise en demeure MENTIONNE EXPRESSÉMENT la présente clause, conformément à l'article 1225 du Code civil. Les sommes dues porteront alors intérêt au taux légal, et </w:t>
      </w:r>
      <w:r>
        <w:rPr>
          <w:b w:val="0"/>
          <w:i w:val="0"/>
          <w:color w:val="1A365D"/>
          <w:shd w:val="clear" w:color="auto" w:fill="FBF8EE"/>
        </w:rPr>
        <w:t>[nom de la partie créancière]</w:t>
      </w:r>
      <w:r>
        <w:rPr>
          <w:b w:val="0"/>
          <w:i w:val="0"/>
        </w:rPr>
        <w:t xml:space="preserve"> recouvrera la faculté de faire valoir l'intégralité de ses droits initiaux.</w:t>
      </w:r>
    </w:p>
    <w:p>
      <w:pPr>
        <w:pBdr>
          <w:bottom w:val="single" w:sz="4" w:space="4" w:color="EADFC0"/>
        </w:pBdr>
        <w:spacing w:before="240"/>
      </w:pPr>
      <w:r>
        <w:rPr>
          <w:b/>
          <w:color w:val="1A365D"/>
          <w:sz w:val="22"/>
        </w:rPr>
        <w:t>ARTICLE 4 — RENONCIATION ET FIN DE NON-RECEVOIR</w:t>
      </w:r>
    </w:p>
    <w:p>
      <w:pPr>
        <w:jc w:val="both"/>
      </w:pPr>
      <w:r>
        <w:t>Sous réserve de l'exécution intégrale des engagements pris à l'article 2, les Parties se déclarent réciproquement remplies de tous leurs droits et renoncent à toute action, instance, réclamation ou prétention se rapportant aux faits décrits au préambule.</w:t>
      </w:r>
    </w:p>
    <w:p>
      <w:pPr>
        <w:jc w:val="both"/>
      </w:pPr>
      <w:r>
        <w:t>Conformément à l'article 2052 du Code civil, la transaction fait obstacle à l'introduction ou à la poursuite entre les Parties d'une action en justice ayant le même objet. Les Parties reconnaissent avoir été expressément informées de cette portée.</w:t>
      </w:r>
    </w:p>
    <w:p>
      <w:pPr>
        <w:pBdr>
          <w:bottom w:val="single" w:sz="4" w:space="4" w:color="EADFC0"/>
        </w:pBdr>
        <w:spacing w:before="240"/>
      </w:pPr>
      <w:r>
        <w:rPr>
          <w:b/>
          <w:color w:val="1A365D"/>
          <w:sz w:val="22"/>
        </w:rPr>
        <w:t>ARTICLE 5 — FORCE EXÉCUTOIRE</w:t>
      </w:r>
    </w:p>
    <w:p>
      <w:pPr>
        <w:jc w:val="both"/>
      </w:pPr>
      <w:r>
        <w:t>Le présent protocole vaut contrat entre les Parties ; il ne constitue pas, par lui-même, un titre exécutoire.</w:t>
      </w:r>
    </w:p>
    <w:p>
      <w:pPr>
        <w:jc w:val="both"/>
      </w:pPr>
      <w:r>
        <w:t>Chacune des Parties pourra en demander l'homologation par requête, seule ou conjointement, devant le juge qui aurait été compétent pour connaître du litige, aux fins de lui conférer force exécutoire, dans les conditions des articles 1541, 1543 et 1545 du Code de procédure civile. Le juge statue sans débat, sauf s'il estime nécessaire d'entendre les Parties.</w:t>
      </w:r>
    </w:p>
    <w:p>
      <w:pPr>
        <w:jc w:val="both"/>
      </w:pPr>
      <w:r>
        <w:t>Lorsque le présent protocole est contresigné par les avocats de chacune des Parties, la formule exécutoire peut être directement apposée par le greffier, sur demande écrite formée en double exemplaire auprès du greffe de la juridiction du domicile du demandeur, dans les conditions de l'article 1546 du Code de procédure civile.</w:t>
      </w:r>
    </w:p>
    <w:p>
      <w:pPr>
        <w:pBdr>
          <w:bottom w:val="single" w:sz="4" w:space="4" w:color="EADFC0"/>
        </w:pBdr>
        <w:spacing w:before="240"/>
      </w:pPr>
      <w:r>
        <w:rPr>
          <w:b/>
          <w:color w:val="1A365D"/>
          <w:sz w:val="22"/>
        </w:rPr>
        <w:t>ARTICLE 6 — CONFIDENTIALITÉ</w:t>
      </w:r>
    </w:p>
    <w:p>
      <w:pPr>
        <w:jc w:val="both"/>
      </w:pPr>
      <w:r>
        <w:t>Les Parties s'engagent à ne pas divulguer le contenu du présent protocole, sauf à leurs conseils, à leur assureur, à l'administration fiscale, et sauf production en justice dans un litige portant sur l'exécution ou l'interprétation du protocole lui-même.</w:t>
      </w:r>
    </w:p>
    <w:p>
      <w:pPr>
        <w:pBdr>
          <w:bottom w:val="single" w:sz="4" w:space="4" w:color="EADFC0"/>
        </w:pBdr>
        <w:spacing w:before="240"/>
      </w:pPr>
      <w:r>
        <w:rPr>
          <w:b/>
          <w:color w:val="1A365D"/>
          <w:sz w:val="22"/>
        </w:rPr>
        <w:t>ARTICLE 7 — FRAIS</w:t>
      </w:r>
    </w:p>
    <w:p>
      <w:pPr>
        <w:jc w:val="both"/>
      </w:pPr>
      <w:r>
        <w:t>Chaque Partie conserve la charge des frais qu'elle a exposés jusqu'à la signature des présentes.</w:t>
      </w:r>
    </w:p>
    <w:p>
      <w:pPr>
        <w:pBdr>
          <w:bottom w:val="single" w:sz="4" w:space="4" w:color="EADFC0"/>
        </w:pBdr>
        <w:spacing w:before="240"/>
      </w:pPr>
      <w:r>
        <w:rPr>
          <w:b/>
          <w:color w:val="1A365D"/>
          <w:sz w:val="22"/>
        </w:rPr>
        <w:t>ARTICLE 8 — INTÉGRALITÉ ET LOI APPLICABLE</w:t>
      </w:r>
    </w:p>
    <w:p>
      <w:pPr>
        <w:jc w:val="both"/>
      </w:pPr>
      <w:r>
        <w:t>Le présent protocole exprime l'intégralité de l'accord des Parties sur son objet et annule tout échange antérieur. Il est soumis au droit français.</w:t>
      </w:r>
    </w:p>
    <w:p>
      <w:pPr>
        <w:jc w:val="both"/>
      </w:pPr>
      <w:r>
        <w:rPr>
          <w:b w:val="0"/>
          <w:i w:val="0"/>
        </w:rPr>
        <w:t xml:space="preserve">Fait à </w:t>
      </w:r>
      <w:r>
        <w:rPr>
          <w:b w:val="0"/>
          <w:i w:val="0"/>
          <w:color w:val="1A365D"/>
          <w:shd w:val="clear" w:color="auto" w:fill="FBF8EE"/>
        </w:rPr>
        <w:t>[ville de signature]</w:t>
      </w:r>
      <w:r>
        <w:rPr>
          <w:b w:val="0"/>
          <w:i w:val="0"/>
        </w:rPr>
        <w:t xml:space="preserve">, le </w:t>
      </w:r>
      <w:r>
        <w:rPr>
          <w:b w:val="0"/>
          <w:i w:val="0"/>
          <w:color w:val="1A365D"/>
          <w:shd w:val="clear" w:color="auto" w:fill="FBF8EE"/>
        </w:rPr>
        <w:t>[date du jour]</w:t>
      </w:r>
      <w:r>
        <w:rPr>
          <w:b w:val="0"/>
          <w:i w:val="0"/>
        </w:rPr>
        <w:t>, en autant d'exemplaires originaux qu'il y a de Parties, chacune reconnaissant en avoir reçu un.</w:t>
      </w:r>
    </w:p>
    <w:p>
      <w:pPr>
        <w:pBdr>
          <w:bottom w:val="single" w:sz="4" w:space="4" w:color="EADFC0"/>
        </w:pBdr>
        <w:spacing w:before="240"/>
      </w:pPr>
      <w:r>
        <w:rPr>
          <w:b/>
          <w:color w:val="1A365D"/>
          <w:sz w:val="22"/>
        </w:rPr>
        <w:t>« LE VENDEUR »                                    « L'ACQUÉREUR »</w:t>
      </w:r>
    </w:p>
    <w:p>
      <w:pPr>
        <w:jc w:val="both"/>
      </w:pPr>
      <w:r>
        <w:t>_____________________________                        _____________________________</w:t>
      </w:r>
    </w:p>
    <w:sectPr w:rsidR="00FC693F" w:rsidRPr="0006063C" w:rsidSect="00034616">
      <w:footerReference w:type="default" r:id="rId9"/>
      <w:pgSz w:w="11906" w:h="16838"/>
      <w:pgMar w:top="1417"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jc w:val="center"/>
    </w:pPr>
    <w:r>
      <w:rPr>
        <w:rFonts w:ascii="Cambria" w:hAnsi="Cambria"/>
        <w:color w:val="6C757D"/>
        <w:sz w:val="18"/>
      </w:rPr>
      <w:t xml:space="preserve">Page </w:t>
    </w:r>
    <w:r>
      <w:rPr>
        <w:rFonts w:ascii="Cambria" w:hAnsi="Cambria"/>
        <w:color w:val="6C757D"/>
        <w:sz w:val="18"/>
      </w:rPr>
      <w:fldChar w:fldCharType="begin"/>
    </w:r>
    <w:r>
      <w:rPr>
        <w:rFonts w:ascii="Cambria" w:hAnsi="Cambria"/>
        <w:color w:val="6C757D"/>
        <w:sz w:val="18"/>
      </w:rPr>
      <w:instrText xml:space="preserve"> PAGE </w:instrText>
    </w:r>
    <w:r>
      <w:rPr>
        <w:rFonts w:ascii="Cambria" w:hAnsi="Cambria"/>
        <w:color w:val="6C757D"/>
        <w:sz w:val="18"/>
      </w:rPr>
      <w:fldChar w:fldCharType="end"/>
    </w:r>
    <w:r>
      <w:rPr>
        <w:rFonts w:ascii="Cambria" w:hAnsi="Cambria"/>
        <w:color w:val="6C757D"/>
        <w:sz w:val="18"/>
      </w:rPr>
      <w:t xml:space="preserve"> sur </w:t>
    </w:r>
    <w:r>
      <w:rPr>
        <w:rFonts w:ascii="Cambria" w:hAnsi="Cambria"/>
        <w:color w:val="6C757D"/>
        <w:sz w:val="18"/>
      </w:rPr>
      <w:fldChar w:fldCharType="begin"/>
    </w:r>
    <w:r>
      <w:rPr>
        <w:rFonts w:ascii="Cambria" w:hAnsi="Cambria"/>
        <w:color w:val="6C757D"/>
        <w:sz w:val="18"/>
      </w:rPr>
      <w:instrText xml:space="preserve"> NUMPAGES </w:instrText>
    </w:r>
    <w:r>
      <w:rPr>
        <w:rFonts w:ascii="Cambria" w:hAnsi="Cambria"/>
        <w:color w:val="6C757D"/>
        <w:sz w:val="18"/>
      </w:rP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88" w:lineRule="auto"/>
    </w:pPr>
    <w:rPr>
      <w:rFonts w:ascii="Cambria" w:hAnsi="Cambria"/>
      <w:color w:val="2D3748"/>
      <w:sz w:val="22"/>
      <w:lang w:val="fr-FR" w:eastAsia="fr-FR"/>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